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3B1" w:rsidRPr="00A95181" w:rsidRDefault="00AC4277" w:rsidP="00AC4277">
      <w:pPr>
        <w:pStyle w:val="SemEspaamento"/>
        <w:jc w:val="center"/>
        <w:rPr>
          <w:rFonts w:ascii="Arial" w:hAnsi="Arial" w:cs="Arial"/>
          <w:b/>
        </w:rPr>
      </w:pPr>
      <w:r>
        <w:rPr>
          <w:rFonts w:ascii="Arial" w:hAnsi="Arial" w:cs="Arial"/>
          <w:b/>
        </w:rPr>
        <w:t>RESOLUÇÃO</w:t>
      </w:r>
      <w:r w:rsidR="007443B1" w:rsidRPr="00A95181">
        <w:rPr>
          <w:rFonts w:ascii="Arial" w:hAnsi="Arial" w:cs="Arial"/>
          <w:b/>
        </w:rPr>
        <w:t xml:space="preserve"> Nº. </w:t>
      </w:r>
      <w:r>
        <w:rPr>
          <w:rFonts w:ascii="Arial" w:hAnsi="Arial" w:cs="Arial"/>
          <w:b/>
        </w:rPr>
        <w:t>XXX</w:t>
      </w:r>
      <w:r w:rsidR="007443B1" w:rsidRPr="00A95181">
        <w:rPr>
          <w:rFonts w:ascii="Arial" w:hAnsi="Arial" w:cs="Arial"/>
          <w:b/>
        </w:rPr>
        <w:t>/2016 – DGFSP/PROEG</w:t>
      </w:r>
    </w:p>
    <w:p w:rsidR="007443B1" w:rsidRDefault="007443B1" w:rsidP="00F92D0D">
      <w:pPr>
        <w:jc w:val="center"/>
        <w:rPr>
          <w:rFonts w:ascii="Arial" w:hAnsi="Arial" w:cs="Arial"/>
          <w:b/>
        </w:rPr>
      </w:pPr>
    </w:p>
    <w:p w:rsidR="007443B1" w:rsidRPr="002509DC" w:rsidRDefault="002509DC" w:rsidP="009D6C64">
      <w:pPr>
        <w:ind w:left="4536"/>
        <w:jc w:val="both"/>
        <w:rPr>
          <w:rFonts w:ascii="Arial" w:hAnsi="Arial" w:cs="Arial"/>
        </w:rPr>
      </w:pPr>
      <w:r>
        <w:rPr>
          <w:rFonts w:ascii="Arial" w:hAnsi="Arial" w:cs="Arial"/>
        </w:rPr>
        <w:t>Dispõe</w:t>
      </w:r>
      <w:r w:rsidRPr="002509DC">
        <w:rPr>
          <w:rFonts w:ascii="Arial" w:hAnsi="Arial" w:cs="Arial"/>
        </w:rPr>
        <w:t xml:space="preserve"> sobre a </w:t>
      </w:r>
      <w:r w:rsidR="00447C59" w:rsidRPr="002509DC">
        <w:rPr>
          <w:rFonts w:ascii="Arial" w:hAnsi="Arial" w:cs="Arial"/>
        </w:rPr>
        <w:t xml:space="preserve">orientação de </w:t>
      </w:r>
      <w:r w:rsidRPr="002509DC">
        <w:rPr>
          <w:rFonts w:ascii="Arial" w:hAnsi="Arial" w:cs="Arial"/>
        </w:rPr>
        <w:t>Trabalho de Conclusão de Curso (</w:t>
      </w:r>
      <w:r w:rsidR="00447C59" w:rsidRPr="002509DC">
        <w:rPr>
          <w:rFonts w:ascii="Arial" w:hAnsi="Arial" w:cs="Arial"/>
        </w:rPr>
        <w:t>TCC</w:t>
      </w:r>
      <w:r w:rsidRPr="002509DC">
        <w:rPr>
          <w:rFonts w:ascii="Arial" w:hAnsi="Arial" w:cs="Arial"/>
        </w:rPr>
        <w:t>)</w:t>
      </w:r>
      <w:r w:rsidR="00447C59" w:rsidRPr="002509DC">
        <w:rPr>
          <w:rFonts w:ascii="Arial" w:hAnsi="Arial" w:cs="Arial"/>
        </w:rPr>
        <w:t xml:space="preserve">, relação número de orientando por orientador, organização das Bancas Examinadoras e procedimentos para defesa e socialização dos trabalhos nos cursos </w:t>
      </w:r>
      <w:r w:rsidR="007443B1" w:rsidRPr="002509DC">
        <w:rPr>
          <w:rFonts w:ascii="Arial" w:hAnsi="Arial" w:cs="Arial"/>
        </w:rPr>
        <w:t>oferecidos em turmas únicas pela Universidade do Estado de Mato Grosso</w:t>
      </w:r>
      <w:r w:rsidR="00754B98" w:rsidRPr="002509DC">
        <w:rPr>
          <w:rFonts w:ascii="Arial" w:hAnsi="Arial" w:cs="Arial"/>
        </w:rPr>
        <w:t xml:space="preserve"> (</w:t>
      </w:r>
      <w:proofErr w:type="spellStart"/>
      <w:r w:rsidR="00754B98" w:rsidRPr="002509DC">
        <w:rPr>
          <w:rFonts w:ascii="Arial" w:hAnsi="Arial" w:cs="Arial"/>
        </w:rPr>
        <w:t>Unemat</w:t>
      </w:r>
      <w:proofErr w:type="spellEnd"/>
      <w:r w:rsidR="00754B98" w:rsidRPr="002509DC">
        <w:rPr>
          <w:rFonts w:ascii="Arial" w:hAnsi="Arial" w:cs="Arial"/>
        </w:rPr>
        <w:t>)</w:t>
      </w:r>
      <w:r w:rsidR="007443B1" w:rsidRPr="002509DC">
        <w:rPr>
          <w:rFonts w:ascii="Arial" w:hAnsi="Arial" w:cs="Arial"/>
        </w:rPr>
        <w:t>, no âmbito da Diretoria de Graduação Fora de Sede e Parceladas, vinculada à Pró-reitoria de Ensino de Graduação</w:t>
      </w:r>
      <w:r w:rsidR="00754B98" w:rsidRPr="002509DC">
        <w:rPr>
          <w:rFonts w:ascii="Arial" w:hAnsi="Arial" w:cs="Arial"/>
        </w:rPr>
        <w:t xml:space="preserve"> (</w:t>
      </w:r>
      <w:proofErr w:type="spellStart"/>
      <w:r w:rsidR="00754B98" w:rsidRPr="002509DC">
        <w:rPr>
          <w:rFonts w:ascii="Arial" w:hAnsi="Arial" w:cs="Arial"/>
        </w:rPr>
        <w:t>Proeg</w:t>
      </w:r>
      <w:proofErr w:type="spellEnd"/>
      <w:r w:rsidR="00754B98" w:rsidRPr="002509DC">
        <w:rPr>
          <w:rFonts w:ascii="Arial" w:hAnsi="Arial" w:cs="Arial"/>
        </w:rPr>
        <w:t>)</w:t>
      </w:r>
      <w:r w:rsidR="007443B1" w:rsidRPr="002509DC">
        <w:rPr>
          <w:rFonts w:ascii="Arial" w:hAnsi="Arial" w:cs="Arial"/>
        </w:rPr>
        <w:t>.</w:t>
      </w:r>
    </w:p>
    <w:p w:rsidR="007443B1" w:rsidRDefault="007443B1" w:rsidP="009D6C64">
      <w:pPr>
        <w:jc w:val="center"/>
        <w:rPr>
          <w:rFonts w:ascii="Arial" w:hAnsi="Arial" w:cs="Arial"/>
        </w:rPr>
      </w:pPr>
    </w:p>
    <w:p w:rsidR="007443B1" w:rsidRDefault="007443B1" w:rsidP="009D6C64">
      <w:pPr>
        <w:jc w:val="center"/>
        <w:rPr>
          <w:rFonts w:ascii="Arial" w:hAnsi="Arial" w:cs="Arial"/>
        </w:rPr>
      </w:pPr>
    </w:p>
    <w:p w:rsidR="007443B1" w:rsidRDefault="007443B1" w:rsidP="009D6C64">
      <w:pPr>
        <w:jc w:val="both"/>
        <w:rPr>
          <w:rFonts w:ascii="Arial" w:hAnsi="Arial" w:cs="Arial"/>
        </w:rPr>
      </w:pPr>
      <w:r>
        <w:rPr>
          <w:rFonts w:ascii="Arial" w:hAnsi="Arial" w:cs="Arial"/>
        </w:rPr>
        <w:tab/>
        <w:t xml:space="preserve">Considerando </w:t>
      </w:r>
      <w:r w:rsidR="00F93564">
        <w:rPr>
          <w:rFonts w:ascii="Arial" w:hAnsi="Arial" w:cs="Arial"/>
        </w:rPr>
        <w:t>o Estatuto da Universidade do Estado de Mato Grosso (</w:t>
      </w:r>
      <w:proofErr w:type="spellStart"/>
      <w:r w:rsidR="00F93564">
        <w:rPr>
          <w:rFonts w:ascii="Arial" w:hAnsi="Arial" w:cs="Arial"/>
        </w:rPr>
        <w:t>Unemat</w:t>
      </w:r>
      <w:proofErr w:type="spellEnd"/>
      <w:r w:rsidR="00F93564">
        <w:rPr>
          <w:rFonts w:ascii="Arial" w:hAnsi="Arial" w:cs="Arial"/>
        </w:rPr>
        <w:t>)</w:t>
      </w:r>
      <w:r w:rsidR="0085272C">
        <w:rPr>
          <w:rFonts w:ascii="Arial" w:hAnsi="Arial" w:cs="Arial"/>
        </w:rPr>
        <w:t xml:space="preserve"> – Resolução nº. 002/2012 – </w:t>
      </w:r>
      <w:proofErr w:type="spellStart"/>
      <w:r w:rsidR="0085272C">
        <w:rPr>
          <w:rFonts w:ascii="Arial" w:hAnsi="Arial" w:cs="Arial"/>
        </w:rPr>
        <w:t>Concur</w:t>
      </w:r>
      <w:proofErr w:type="spellEnd"/>
      <w:r w:rsidR="0085272C">
        <w:rPr>
          <w:rFonts w:ascii="Arial" w:hAnsi="Arial" w:cs="Arial"/>
        </w:rPr>
        <w:t>;</w:t>
      </w:r>
    </w:p>
    <w:p w:rsidR="002509DC" w:rsidRDefault="002509DC" w:rsidP="009D6C64">
      <w:pPr>
        <w:jc w:val="both"/>
        <w:rPr>
          <w:rFonts w:ascii="Arial" w:hAnsi="Arial" w:cs="Arial"/>
        </w:rPr>
      </w:pPr>
    </w:p>
    <w:p w:rsidR="002509DC" w:rsidRDefault="002509DC" w:rsidP="009D6C64">
      <w:pPr>
        <w:jc w:val="both"/>
        <w:rPr>
          <w:rFonts w:ascii="Arial" w:hAnsi="Arial" w:cs="Arial"/>
        </w:rPr>
      </w:pPr>
      <w:r>
        <w:rPr>
          <w:rFonts w:ascii="Arial" w:hAnsi="Arial" w:cs="Arial"/>
        </w:rPr>
        <w:tab/>
        <w:t xml:space="preserve">Considerando as resoluções nº. </w:t>
      </w:r>
      <w:r w:rsidRPr="002509DC">
        <w:rPr>
          <w:rFonts w:ascii="Arial" w:hAnsi="Arial" w:cs="Arial"/>
          <w:color w:val="000000"/>
        </w:rPr>
        <w:t xml:space="preserve">030/2012-CONEPE e </w:t>
      </w:r>
      <w:r w:rsidRPr="003D5A51">
        <w:rPr>
          <w:rFonts w:ascii="Arial" w:hAnsi="Arial" w:cs="Arial"/>
        </w:rPr>
        <w:t>055/2015-CONEPE</w:t>
      </w:r>
      <w:r>
        <w:rPr>
          <w:rFonts w:ascii="Arial" w:hAnsi="Arial" w:cs="Arial"/>
          <w:color w:val="00B0F0"/>
        </w:rPr>
        <w:t>;</w:t>
      </w:r>
    </w:p>
    <w:p w:rsidR="0085272C" w:rsidRDefault="0085272C" w:rsidP="009D6C64">
      <w:pPr>
        <w:jc w:val="both"/>
        <w:rPr>
          <w:rFonts w:ascii="Arial" w:hAnsi="Arial" w:cs="Arial"/>
        </w:rPr>
      </w:pPr>
    </w:p>
    <w:p w:rsidR="0085272C" w:rsidRDefault="0085272C" w:rsidP="009D6C64">
      <w:pPr>
        <w:jc w:val="both"/>
        <w:rPr>
          <w:rFonts w:ascii="Arial" w:hAnsi="Arial" w:cs="Arial"/>
        </w:rPr>
      </w:pPr>
      <w:r>
        <w:rPr>
          <w:rFonts w:ascii="Arial" w:hAnsi="Arial" w:cs="Arial"/>
        </w:rPr>
        <w:tab/>
        <w:t>Considerando os convênios firmados entre os municípios, a Universidade do Estado de Mato Grosso (</w:t>
      </w:r>
      <w:proofErr w:type="spellStart"/>
      <w:r>
        <w:rPr>
          <w:rFonts w:ascii="Arial" w:hAnsi="Arial" w:cs="Arial"/>
        </w:rPr>
        <w:t>Unemat</w:t>
      </w:r>
      <w:proofErr w:type="spellEnd"/>
      <w:r>
        <w:rPr>
          <w:rFonts w:ascii="Arial" w:hAnsi="Arial" w:cs="Arial"/>
        </w:rPr>
        <w:t>) e a Fundação de Apoio ao Ensino Superior Público Estadual (</w:t>
      </w:r>
      <w:proofErr w:type="spellStart"/>
      <w:r>
        <w:rPr>
          <w:rFonts w:ascii="Arial" w:hAnsi="Arial" w:cs="Arial"/>
        </w:rPr>
        <w:t>Faespe</w:t>
      </w:r>
      <w:proofErr w:type="spellEnd"/>
      <w:r>
        <w:rPr>
          <w:rFonts w:ascii="Arial" w:hAnsi="Arial" w:cs="Arial"/>
        </w:rPr>
        <w:t>) para a oferta de cursos em turmas únicas;</w:t>
      </w:r>
    </w:p>
    <w:p w:rsidR="0085272C" w:rsidRDefault="0085272C" w:rsidP="009D6C64">
      <w:pPr>
        <w:jc w:val="both"/>
        <w:rPr>
          <w:rFonts w:ascii="Arial" w:hAnsi="Arial" w:cs="Arial"/>
        </w:rPr>
      </w:pPr>
    </w:p>
    <w:p w:rsidR="0085272C" w:rsidRDefault="0085272C" w:rsidP="009D6C64">
      <w:pPr>
        <w:ind w:firstLine="708"/>
        <w:jc w:val="both"/>
        <w:rPr>
          <w:rFonts w:ascii="Arial" w:hAnsi="Arial" w:cs="Arial"/>
        </w:rPr>
      </w:pPr>
      <w:r>
        <w:rPr>
          <w:rFonts w:ascii="Arial" w:hAnsi="Arial" w:cs="Arial"/>
        </w:rPr>
        <w:t>Considerando a necessidade de se regulamentar as práticas e as especificidade</w:t>
      </w:r>
      <w:r w:rsidR="00754B98">
        <w:rPr>
          <w:rFonts w:ascii="Arial" w:hAnsi="Arial" w:cs="Arial"/>
        </w:rPr>
        <w:t>s</w:t>
      </w:r>
      <w:r>
        <w:rPr>
          <w:rFonts w:ascii="Arial" w:hAnsi="Arial" w:cs="Arial"/>
        </w:rPr>
        <w:t xml:space="preserve"> dos cursos ofer</w:t>
      </w:r>
      <w:r w:rsidR="00754B98">
        <w:rPr>
          <w:rFonts w:ascii="Arial" w:hAnsi="Arial" w:cs="Arial"/>
        </w:rPr>
        <w:t>tados</w:t>
      </w:r>
      <w:r>
        <w:rPr>
          <w:rFonts w:ascii="Arial" w:hAnsi="Arial" w:cs="Arial"/>
        </w:rPr>
        <w:t xml:space="preserve"> em turmas únicas;</w:t>
      </w:r>
    </w:p>
    <w:p w:rsidR="0085272C" w:rsidRDefault="0085272C" w:rsidP="009D6C64">
      <w:pPr>
        <w:ind w:firstLine="708"/>
        <w:jc w:val="both"/>
        <w:rPr>
          <w:rFonts w:ascii="Arial" w:hAnsi="Arial" w:cs="Arial"/>
        </w:rPr>
      </w:pPr>
    </w:p>
    <w:p w:rsidR="0085272C" w:rsidRDefault="0085272C" w:rsidP="009D6C64">
      <w:pPr>
        <w:ind w:firstLine="708"/>
        <w:jc w:val="both"/>
        <w:rPr>
          <w:rFonts w:ascii="Arial" w:hAnsi="Arial" w:cs="Arial"/>
        </w:rPr>
      </w:pPr>
      <w:r>
        <w:rPr>
          <w:rFonts w:ascii="Arial" w:hAnsi="Arial" w:cs="Arial"/>
        </w:rPr>
        <w:t>Considerando a ausência de professores efetivos diretamente ligados aos cursos ofertados em turmas únicas, objetos dos convênios supracitados;</w:t>
      </w:r>
    </w:p>
    <w:p w:rsidR="0085272C" w:rsidRDefault="0085272C" w:rsidP="009D6C64">
      <w:pPr>
        <w:jc w:val="both"/>
        <w:rPr>
          <w:rFonts w:ascii="Arial" w:hAnsi="Arial" w:cs="Arial"/>
        </w:rPr>
      </w:pPr>
    </w:p>
    <w:p w:rsidR="0085272C" w:rsidRDefault="0085272C" w:rsidP="009D6C64">
      <w:pPr>
        <w:jc w:val="both"/>
        <w:rPr>
          <w:rFonts w:ascii="Arial" w:hAnsi="Arial" w:cs="Arial"/>
        </w:rPr>
      </w:pPr>
      <w:r>
        <w:rPr>
          <w:rFonts w:ascii="Arial" w:hAnsi="Arial" w:cs="Arial"/>
        </w:rPr>
        <w:tab/>
        <w:t>A Pró-reitoria de Ensino de Graduação (</w:t>
      </w:r>
      <w:proofErr w:type="spellStart"/>
      <w:r>
        <w:rPr>
          <w:rFonts w:ascii="Arial" w:hAnsi="Arial" w:cs="Arial"/>
        </w:rPr>
        <w:t>Proeg</w:t>
      </w:r>
      <w:proofErr w:type="spellEnd"/>
      <w:r>
        <w:rPr>
          <w:rFonts w:ascii="Arial" w:hAnsi="Arial" w:cs="Arial"/>
        </w:rPr>
        <w:t>) e a Diretoria de Graduação Fora de Sede, no uso de suas atribuições legais</w:t>
      </w:r>
      <w:r w:rsidR="00754B98">
        <w:rPr>
          <w:rFonts w:ascii="Arial" w:hAnsi="Arial" w:cs="Arial"/>
        </w:rPr>
        <w:t>,</w:t>
      </w:r>
      <w:r>
        <w:rPr>
          <w:rFonts w:ascii="Arial" w:hAnsi="Arial" w:cs="Arial"/>
        </w:rPr>
        <w:t xml:space="preserve"> </w:t>
      </w:r>
    </w:p>
    <w:p w:rsidR="0085272C" w:rsidRDefault="0085272C" w:rsidP="009D6C64">
      <w:pPr>
        <w:jc w:val="both"/>
        <w:rPr>
          <w:rFonts w:ascii="Arial" w:hAnsi="Arial" w:cs="Arial"/>
        </w:rPr>
      </w:pPr>
    </w:p>
    <w:p w:rsidR="0085272C" w:rsidRDefault="0085272C" w:rsidP="009D6C64">
      <w:pPr>
        <w:jc w:val="both"/>
        <w:rPr>
          <w:rFonts w:ascii="Arial" w:hAnsi="Arial" w:cs="Arial"/>
          <w:b/>
        </w:rPr>
      </w:pPr>
      <w:r w:rsidRPr="00E875D3">
        <w:rPr>
          <w:rFonts w:ascii="Arial" w:hAnsi="Arial" w:cs="Arial"/>
          <w:b/>
        </w:rPr>
        <w:t>Resolve</w:t>
      </w:r>
      <w:r w:rsidR="00D45183">
        <w:rPr>
          <w:rFonts w:ascii="Arial" w:hAnsi="Arial" w:cs="Arial"/>
          <w:b/>
        </w:rPr>
        <w:t>m</w:t>
      </w:r>
      <w:r w:rsidRPr="00E875D3">
        <w:rPr>
          <w:rFonts w:ascii="Arial" w:hAnsi="Arial" w:cs="Arial"/>
          <w:b/>
        </w:rPr>
        <w:t>:</w:t>
      </w:r>
    </w:p>
    <w:p w:rsidR="00447C59" w:rsidRDefault="00447C59" w:rsidP="009D6C64">
      <w:pPr>
        <w:jc w:val="both"/>
        <w:rPr>
          <w:rFonts w:ascii="Arial" w:hAnsi="Arial" w:cs="Arial"/>
          <w:b/>
        </w:rPr>
      </w:pPr>
    </w:p>
    <w:p w:rsidR="00447C59" w:rsidRPr="002509DC" w:rsidRDefault="00447C59" w:rsidP="009D6C64">
      <w:pPr>
        <w:ind w:right="27"/>
        <w:jc w:val="both"/>
        <w:rPr>
          <w:rFonts w:ascii="Arial" w:hAnsi="Arial" w:cs="Arial"/>
          <w:color w:val="000000"/>
        </w:rPr>
      </w:pPr>
      <w:r w:rsidRPr="002509DC">
        <w:rPr>
          <w:rFonts w:ascii="Arial" w:hAnsi="Arial" w:cs="Arial"/>
          <w:color w:val="000000"/>
        </w:rPr>
        <w:t xml:space="preserve">Art. </w:t>
      </w:r>
      <w:r w:rsidR="002509DC">
        <w:rPr>
          <w:rFonts w:ascii="Arial" w:hAnsi="Arial" w:cs="Arial"/>
          <w:color w:val="000000"/>
        </w:rPr>
        <w:t>1º. Regulamentar</w:t>
      </w:r>
      <w:r w:rsidRPr="002509DC">
        <w:rPr>
          <w:rFonts w:ascii="Arial" w:hAnsi="Arial" w:cs="Arial"/>
          <w:color w:val="000000"/>
        </w:rPr>
        <w:t xml:space="preserve"> </w:t>
      </w:r>
      <w:r w:rsidR="002579CB">
        <w:rPr>
          <w:rFonts w:ascii="Arial" w:hAnsi="Arial" w:cs="Arial"/>
          <w:color w:val="000000"/>
        </w:rPr>
        <w:t xml:space="preserve">as </w:t>
      </w:r>
      <w:r w:rsidRPr="002509DC">
        <w:rPr>
          <w:rFonts w:ascii="Arial" w:hAnsi="Arial" w:cs="Arial"/>
          <w:color w:val="000000"/>
        </w:rPr>
        <w:t>especificidades não contempladas na</w:t>
      </w:r>
      <w:r w:rsidR="002579CB">
        <w:rPr>
          <w:rFonts w:ascii="Arial" w:hAnsi="Arial" w:cs="Arial"/>
          <w:color w:val="000000"/>
        </w:rPr>
        <w:t>s</w:t>
      </w:r>
      <w:r w:rsidRPr="002509DC">
        <w:rPr>
          <w:rFonts w:ascii="Arial" w:hAnsi="Arial" w:cs="Arial"/>
          <w:color w:val="000000"/>
        </w:rPr>
        <w:t xml:space="preserve"> </w:t>
      </w:r>
      <w:r w:rsidR="002579CB">
        <w:rPr>
          <w:rFonts w:ascii="Arial" w:hAnsi="Arial" w:cs="Arial"/>
          <w:color w:val="000000"/>
        </w:rPr>
        <w:t>r</w:t>
      </w:r>
      <w:r w:rsidRPr="002509DC">
        <w:rPr>
          <w:rFonts w:ascii="Arial" w:hAnsi="Arial" w:cs="Arial"/>
          <w:color w:val="000000"/>
        </w:rPr>
        <w:t>esoluç</w:t>
      </w:r>
      <w:r w:rsidR="002579CB">
        <w:rPr>
          <w:rFonts w:ascii="Arial" w:hAnsi="Arial" w:cs="Arial"/>
          <w:color w:val="000000"/>
        </w:rPr>
        <w:t xml:space="preserve">ões nº. </w:t>
      </w:r>
      <w:r w:rsidRPr="002509DC">
        <w:rPr>
          <w:rFonts w:ascii="Arial" w:hAnsi="Arial" w:cs="Arial"/>
          <w:color w:val="000000"/>
        </w:rPr>
        <w:t xml:space="preserve">030/2012-CONEPE e </w:t>
      </w:r>
      <w:r w:rsidRPr="003D5A51">
        <w:rPr>
          <w:rFonts w:ascii="Arial" w:hAnsi="Arial" w:cs="Arial"/>
        </w:rPr>
        <w:t>055/2015-CONEPE</w:t>
      </w:r>
      <w:r w:rsidRPr="002509DC">
        <w:rPr>
          <w:rFonts w:ascii="Arial" w:hAnsi="Arial" w:cs="Arial"/>
          <w:color w:val="000000"/>
        </w:rPr>
        <w:t xml:space="preserve">, referentes à orientação de TCC dos cursos ofertados em turma única </w:t>
      </w:r>
      <w:r w:rsidR="002579CB">
        <w:rPr>
          <w:rFonts w:ascii="Arial" w:hAnsi="Arial" w:cs="Arial"/>
          <w:color w:val="000000"/>
        </w:rPr>
        <w:t xml:space="preserve">no âmbito da </w:t>
      </w:r>
      <w:r w:rsidRPr="002509DC">
        <w:rPr>
          <w:rFonts w:ascii="Arial" w:hAnsi="Arial" w:cs="Arial"/>
        </w:rPr>
        <w:t xml:space="preserve">Diretoria de </w:t>
      </w:r>
      <w:r w:rsidRPr="002579CB">
        <w:rPr>
          <w:rFonts w:ascii="Arial" w:hAnsi="Arial" w:cs="Arial"/>
        </w:rPr>
        <w:t>Graduação</w:t>
      </w:r>
      <w:r w:rsidRPr="002509DC">
        <w:rPr>
          <w:rFonts w:ascii="Arial" w:hAnsi="Arial" w:cs="Arial"/>
          <w:color w:val="FF0000"/>
        </w:rPr>
        <w:t xml:space="preserve"> </w:t>
      </w:r>
      <w:r w:rsidRPr="002509DC">
        <w:rPr>
          <w:rFonts w:ascii="Arial" w:hAnsi="Arial" w:cs="Arial"/>
        </w:rPr>
        <w:t>Fora de Sede e Parceladas</w:t>
      </w:r>
      <w:r w:rsidRPr="002509DC">
        <w:rPr>
          <w:rFonts w:ascii="Arial" w:hAnsi="Arial" w:cs="Arial"/>
          <w:color w:val="000000"/>
        </w:rPr>
        <w:t xml:space="preserve">. </w:t>
      </w:r>
    </w:p>
    <w:p w:rsidR="002579CB" w:rsidRDefault="002579CB" w:rsidP="009D6C64">
      <w:pPr>
        <w:autoSpaceDE w:val="0"/>
        <w:autoSpaceDN w:val="0"/>
        <w:adjustRightInd w:val="0"/>
        <w:jc w:val="both"/>
        <w:rPr>
          <w:rFonts w:ascii="Arial" w:hAnsi="Arial" w:cs="Arial"/>
          <w:color w:val="000000"/>
        </w:rPr>
      </w:pPr>
    </w:p>
    <w:p w:rsidR="00447C59" w:rsidRPr="002509DC" w:rsidRDefault="00447C59" w:rsidP="009D6C64">
      <w:pPr>
        <w:autoSpaceDE w:val="0"/>
        <w:autoSpaceDN w:val="0"/>
        <w:adjustRightInd w:val="0"/>
        <w:jc w:val="both"/>
        <w:rPr>
          <w:rFonts w:ascii="Arial" w:hAnsi="Arial" w:cs="Arial"/>
          <w:color w:val="000000"/>
        </w:rPr>
      </w:pPr>
      <w:r w:rsidRPr="002509DC">
        <w:rPr>
          <w:rFonts w:ascii="Arial" w:hAnsi="Arial" w:cs="Arial"/>
          <w:color w:val="000000"/>
        </w:rPr>
        <w:t xml:space="preserve">Parágrafo Único: Esta Instrução Normativa não substitui ou sobrepõe </w:t>
      </w:r>
      <w:proofErr w:type="gramStart"/>
      <w:r w:rsidRPr="002509DC">
        <w:rPr>
          <w:rFonts w:ascii="Arial" w:hAnsi="Arial" w:cs="Arial"/>
          <w:color w:val="000000"/>
        </w:rPr>
        <w:t>a</w:t>
      </w:r>
      <w:r w:rsidR="002579CB">
        <w:rPr>
          <w:rFonts w:ascii="Arial" w:hAnsi="Arial" w:cs="Arial"/>
          <w:color w:val="000000"/>
        </w:rPr>
        <w:t>s</w:t>
      </w:r>
      <w:proofErr w:type="gramEnd"/>
      <w:r w:rsidR="002579CB">
        <w:rPr>
          <w:rFonts w:ascii="Arial" w:hAnsi="Arial" w:cs="Arial"/>
          <w:color w:val="000000"/>
        </w:rPr>
        <w:t xml:space="preserve"> resoluções citadas no caput.</w:t>
      </w:r>
    </w:p>
    <w:p w:rsidR="00447C59" w:rsidRPr="002509DC" w:rsidRDefault="00447C59" w:rsidP="009D6C64">
      <w:pPr>
        <w:autoSpaceDE w:val="0"/>
        <w:autoSpaceDN w:val="0"/>
        <w:adjustRightInd w:val="0"/>
        <w:jc w:val="both"/>
        <w:rPr>
          <w:rFonts w:ascii="Arial" w:hAnsi="Arial" w:cs="Arial"/>
          <w:color w:val="000000"/>
        </w:rPr>
      </w:pPr>
    </w:p>
    <w:p w:rsidR="00447C59" w:rsidRPr="002509DC" w:rsidRDefault="00447C59" w:rsidP="009D6C64">
      <w:pPr>
        <w:autoSpaceDE w:val="0"/>
        <w:autoSpaceDN w:val="0"/>
        <w:adjustRightInd w:val="0"/>
        <w:jc w:val="both"/>
        <w:rPr>
          <w:rFonts w:ascii="Arial" w:hAnsi="Arial" w:cs="Arial"/>
          <w:b/>
          <w:color w:val="000000"/>
        </w:rPr>
      </w:pPr>
      <w:r w:rsidRPr="002509DC">
        <w:rPr>
          <w:rFonts w:ascii="Arial" w:hAnsi="Arial" w:cs="Arial"/>
          <w:b/>
          <w:color w:val="000000"/>
        </w:rPr>
        <w:lastRenderedPageBreak/>
        <w:t>Da orientação do TCC</w:t>
      </w:r>
    </w:p>
    <w:p w:rsidR="00447C59" w:rsidRPr="002509DC" w:rsidRDefault="00447C59" w:rsidP="009D6C64">
      <w:pPr>
        <w:autoSpaceDE w:val="0"/>
        <w:autoSpaceDN w:val="0"/>
        <w:adjustRightInd w:val="0"/>
        <w:jc w:val="both"/>
        <w:rPr>
          <w:rFonts w:ascii="Arial" w:hAnsi="Arial" w:cs="Arial"/>
          <w:b/>
          <w:color w:val="000000"/>
        </w:rPr>
      </w:pPr>
    </w:p>
    <w:p w:rsidR="00447C59" w:rsidRPr="002509DC" w:rsidRDefault="00447C59" w:rsidP="009D6C64">
      <w:pPr>
        <w:autoSpaceDE w:val="0"/>
        <w:autoSpaceDN w:val="0"/>
        <w:adjustRightInd w:val="0"/>
        <w:jc w:val="both"/>
        <w:rPr>
          <w:rFonts w:ascii="Arial" w:hAnsi="Arial" w:cs="Arial"/>
          <w:color w:val="000000"/>
        </w:rPr>
      </w:pPr>
      <w:r w:rsidRPr="002509DC">
        <w:rPr>
          <w:rFonts w:ascii="Arial" w:hAnsi="Arial" w:cs="Arial"/>
          <w:color w:val="000000"/>
        </w:rPr>
        <w:t>Art.</w:t>
      </w:r>
      <w:r w:rsidR="002579CB">
        <w:rPr>
          <w:rFonts w:ascii="Arial" w:hAnsi="Arial" w:cs="Arial"/>
          <w:color w:val="000000"/>
        </w:rPr>
        <w:t xml:space="preserve"> 2º</w:t>
      </w:r>
      <w:r w:rsidRPr="002509DC">
        <w:rPr>
          <w:rFonts w:ascii="Arial" w:hAnsi="Arial" w:cs="Arial"/>
          <w:color w:val="000000"/>
        </w:rPr>
        <w:t xml:space="preserve"> – A orientação do TCC nos cursos </w:t>
      </w:r>
      <w:r w:rsidR="002579CB" w:rsidRPr="002509DC">
        <w:rPr>
          <w:rFonts w:ascii="Arial" w:hAnsi="Arial" w:cs="Arial"/>
          <w:color w:val="000000"/>
        </w:rPr>
        <w:t xml:space="preserve">ofertados em turma única </w:t>
      </w:r>
      <w:r w:rsidR="002579CB">
        <w:rPr>
          <w:rFonts w:ascii="Arial" w:hAnsi="Arial" w:cs="Arial"/>
          <w:color w:val="000000"/>
        </w:rPr>
        <w:t xml:space="preserve">no âmbito da </w:t>
      </w:r>
      <w:r w:rsidR="002579CB" w:rsidRPr="002509DC">
        <w:rPr>
          <w:rFonts w:ascii="Arial" w:hAnsi="Arial" w:cs="Arial"/>
        </w:rPr>
        <w:t xml:space="preserve">Diretoria de </w:t>
      </w:r>
      <w:r w:rsidR="002579CB" w:rsidRPr="002579CB">
        <w:rPr>
          <w:rFonts w:ascii="Arial" w:hAnsi="Arial" w:cs="Arial"/>
        </w:rPr>
        <w:t>Graduação</w:t>
      </w:r>
      <w:r w:rsidR="002579CB" w:rsidRPr="002509DC">
        <w:rPr>
          <w:rFonts w:ascii="Arial" w:hAnsi="Arial" w:cs="Arial"/>
          <w:color w:val="FF0000"/>
        </w:rPr>
        <w:t xml:space="preserve"> </w:t>
      </w:r>
      <w:r w:rsidR="002579CB" w:rsidRPr="002509DC">
        <w:rPr>
          <w:rFonts w:ascii="Arial" w:hAnsi="Arial" w:cs="Arial"/>
        </w:rPr>
        <w:t>Fora de Sede e Parceladas</w:t>
      </w:r>
      <w:r w:rsidRPr="002509DC">
        <w:rPr>
          <w:rFonts w:ascii="Arial" w:hAnsi="Arial" w:cs="Arial"/>
          <w:color w:val="000000"/>
        </w:rPr>
        <w:t xml:space="preserve"> será realizada por professores que ministraram disciplinas nas referidas turmas, professores e profissionais</w:t>
      </w:r>
      <w:r w:rsidR="00333838">
        <w:rPr>
          <w:rFonts w:ascii="Arial" w:hAnsi="Arial" w:cs="Arial"/>
          <w:color w:val="000000"/>
        </w:rPr>
        <w:t xml:space="preserve"> de Nível Superior</w:t>
      </w:r>
      <w:r w:rsidRPr="002509DC">
        <w:rPr>
          <w:rFonts w:ascii="Arial" w:hAnsi="Arial" w:cs="Arial"/>
          <w:color w:val="000000"/>
        </w:rPr>
        <w:t xml:space="preserve"> da </w:t>
      </w:r>
      <w:proofErr w:type="spellStart"/>
      <w:r w:rsidRPr="002509DC">
        <w:rPr>
          <w:rFonts w:ascii="Arial" w:hAnsi="Arial" w:cs="Arial"/>
          <w:color w:val="000000"/>
        </w:rPr>
        <w:t>U</w:t>
      </w:r>
      <w:r w:rsidR="002579CB">
        <w:rPr>
          <w:rFonts w:ascii="Arial" w:hAnsi="Arial" w:cs="Arial"/>
          <w:color w:val="000000"/>
        </w:rPr>
        <w:t>nemat</w:t>
      </w:r>
      <w:proofErr w:type="spellEnd"/>
      <w:r w:rsidRPr="002509DC">
        <w:rPr>
          <w:rFonts w:ascii="Arial" w:hAnsi="Arial" w:cs="Arial"/>
          <w:color w:val="000000"/>
        </w:rPr>
        <w:t xml:space="preserve"> ou de outras instituições, desde que atuem na área de formação do curso e tenham interesse na pesquisa do acadêmico.</w:t>
      </w:r>
    </w:p>
    <w:p w:rsidR="00447C59" w:rsidRPr="002509DC" w:rsidRDefault="00447C59" w:rsidP="009D6C64">
      <w:pPr>
        <w:autoSpaceDE w:val="0"/>
        <w:autoSpaceDN w:val="0"/>
        <w:adjustRightInd w:val="0"/>
        <w:jc w:val="both"/>
        <w:rPr>
          <w:rFonts w:ascii="Arial" w:hAnsi="Arial" w:cs="Arial"/>
          <w:color w:val="000000"/>
        </w:rPr>
      </w:pPr>
      <w:r w:rsidRPr="002509DC">
        <w:rPr>
          <w:rFonts w:ascii="Arial" w:hAnsi="Arial" w:cs="Arial"/>
          <w:color w:val="000000"/>
        </w:rPr>
        <w:t>I – Compete ao professor de TCC orientar os alunos quanto aos profissionais que poderão orientar o TCC.</w:t>
      </w:r>
    </w:p>
    <w:p w:rsidR="00447C59" w:rsidRPr="002509DC" w:rsidRDefault="00447C59" w:rsidP="009D6C64">
      <w:pPr>
        <w:autoSpaceDE w:val="0"/>
        <w:autoSpaceDN w:val="0"/>
        <w:adjustRightInd w:val="0"/>
        <w:jc w:val="both"/>
        <w:rPr>
          <w:rFonts w:ascii="Arial" w:hAnsi="Arial" w:cs="Arial"/>
          <w:color w:val="000000"/>
        </w:rPr>
      </w:pPr>
      <w:r w:rsidRPr="002509DC">
        <w:rPr>
          <w:rFonts w:ascii="Arial" w:hAnsi="Arial" w:cs="Arial"/>
          <w:color w:val="000000"/>
        </w:rPr>
        <w:t xml:space="preserve">II. – Compete aos alunos buscarem os orientadores de acordo com as áreas de conhecimento em que se encaixarem as temáticas dos projetos de pesquisa que pretendam desenvolver nos </w:t>
      </w:r>
      <w:proofErr w:type="spellStart"/>
      <w:r w:rsidRPr="002509DC">
        <w:rPr>
          <w:rFonts w:ascii="Arial" w:hAnsi="Arial" w:cs="Arial"/>
          <w:color w:val="000000"/>
        </w:rPr>
        <w:t>TCCs</w:t>
      </w:r>
      <w:proofErr w:type="spellEnd"/>
      <w:r w:rsidRPr="002509DC">
        <w:rPr>
          <w:rFonts w:ascii="Arial" w:hAnsi="Arial" w:cs="Arial"/>
          <w:color w:val="000000"/>
        </w:rPr>
        <w:t>.</w:t>
      </w:r>
    </w:p>
    <w:p w:rsidR="00447C59" w:rsidRPr="002509DC" w:rsidRDefault="00447C59" w:rsidP="009D6C64">
      <w:pPr>
        <w:autoSpaceDE w:val="0"/>
        <w:autoSpaceDN w:val="0"/>
        <w:adjustRightInd w:val="0"/>
        <w:jc w:val="both"/>
        <w:rPr>
          <w:rFonts w:ascii="Arial" w:hAnsi="Arial" w:cs="Arial"/>
          <w:color w:val="000000"/>
        </w:rPr>
      </w:pPr>
      <w:r w:rsidRPr="002509DC">
        <w:rPr>
          <w:rFonts w:ascii="Arial" w:hAnsi="Arial" w:cs="Arial"/>
          <w:color w:val="000000"/>
        </w:rPr>
        <w:t xml:space="preserve">III. – Compete ao professor de TCC apresentar relação de </w:t>
      </w:r>
      <w:proofErr w:type="gramStart"/>
      <w:r w:rsidRPr="002509DC">
        <w:rPr>
          <w:rFonts w:ascii="Arial" w:hAnsi="Arial" w:cs="Arial"/>
          <w:color w:val="000000"/>
        </w:rPr>
        <w:t>profissionais/professores</w:t>
      </w:r>
      <w:proofErr w:type="gramEnd"/>
      <w:r w:rsidRPr="002509DC">
        <w:rPr>
          <w:rFonts w:ascii="Arial" w:hAnsi="Arial" w:cs="Arial"/>
          <w:color w:val="000000"/>
        </w:rPr>
        <w:t xml:space="preserve"> que possam orientar e auxiliar os alunos na busca e contatos com os possíveis orientadores.</w:t>
      </w:r>
    </w:p>
    <w:p w:rsidR="00447C59" w:rsidRPr="002509DC" w:rsidRDefault="00447C59" w:rsidP="009D6C64">
      <w:pPr>
        <w:autoSpaceDE w:val="0"/>
        <w:autoSpaceDN w:val="0"/>
        <w:adjustRightInd w:val="0"/>
        <w:jc w:val="both"/>
        <w:rPr>
          <w:rFonts w:ascii="Arial" w:hAnsi="Arial" w:cs="Arial"/>
          <w:color w:val="000000"/>
        </w:rPr>
      </w:pPr>
      <w:r w:rsidRPr="002509DC">
        <w:rPr>
          <w:rFonts w:ascii="Arial" w:hAnsi="Arial" w:cs="Arial"/>
          <w:color w:val="000000"/>
        </w:rPr>
        <w:t>IV – O professor de TCC deverá disponibilizar aos alunos a Carta de Aceite de Orientação necessária ao estabelecimento do compromisso do orientador com a orientação do aluno, desde a elaboração do projeto de TCC até a conclusão e defesa da Monografia. Essa carta será assinada pelo orientador e entregue ao professor de TCC.</w:t>
      </w:r>
    </w:p>
    <w:p w:rsidR="00447C59" w:rsidRPr="002509DC" w:rsidRDefault="00447C59" w:rsidP="009D6C64">
      <w:pPr>
        <w:autoSpaceDE w:val="0"/>
        <w:autoSpaceDN w:val="0"/>
        <w:adjustRightInd w:val="0"/>
        <w:jc w:val="both"/>
        <w:rPr>
          <w:rFonts w:ascii="Arial" w:hAnsi="Arial" w:cs="Arial"/>
          <w:color w:val="000000"/>
        </w:rPr>
      </w:pPr>
      <w:r w:rsidRPr="002509DC">
        <w:rPr>
          <w:rFonts w:ascii="Arial" w:hAnsi="Arial" w:cs="Arial"/>
          <w:color w:val="000000"/>
        </w:rPr>
        <w:t>V – O professor de TCC</w:t>
      </w:r>
      <w:r w:rsidR="00333838">
        <w:rPr>
          <w:rFonts w:ascii="Arial" w:hAnsi="Arial" w:cs="Arial"/>
          <w:color w:val="000000"/>
        </w:rPr>
        <w:t>,</w:t>
      </w:r>
      <w:r w:rsidRPr="002509DC">
        <w:rPr>
          <w:rFonts w:ascii="Arial" w:hAnsi="Arial" w:cs="Arial"/>
          <w:color w:val="000000"/>
        </w:rPr>
        <w:t xml:space="preserve"> em cada semestre</w:t>
      </w:r>
      <w:r w:rsidR="00333838">
        <w:rPr>
          <w:rFonts w:ascii="Arial" w:hAnsi="Arial" w:cs="Arial"/>
          <w:color w:val="000000"/>
        </w:rPr>
        <w:t>,</w:t>
      </w:r>
      <w:r w:rsidRPr="002509DC">
        <w:rPr>
          <w:rFonts w:ascii="Arial" w:hAnsi="Arial" w:cs="Arial"/>
          <w:color w:val="000000"/>
        </w:rPr>
        <w:t xml:space="preserve"> deverá estabelecer um cronograma para o cumprimento das atividades pertinentes ao TCC. Esse cronograma deverá ser informado aos alunos e orientadores no início de cada semestre em que ocorra a disciplina de TCC.</w:t>
      </w:r>
    </w:p>
    <w:p w:rsidR="00447C59" w:rsidRPr="002509DC" w:rsidRDefault="00447C59" w:rsidP="009D6C64">
      <w:pPr>
        <w:autoSpaceDE w:val="0"/>
        <w:autoSpaceDN w:val="0"/>
        <w:adjustRightInd w:val="0"/>
        <w:jc w:val="both"/>
        <w:rPr>
          <w:rFonts w:ascii="Arial" w:hAnsi="Arial" w:cs="Arial"/>
          <w:color w:val="000000"/>
        </w:rPr>
      </w:pPr>
      <w:r w:rsidRPr="002509DC">
        <w:rPr>
          <w:rFonts w:ascii="Arial" w:hAnsi="Arial" w:cs="Arial"/>
          <w:color w:val="000000"/>
        </w:rPr>
        <w:t>VI – O professor de TCC informará aos alunos quanto aos recursos que serão utilizados para a comunicação entre orientado e orientador, considerando as distâncias dos núcleos e residências de alunos e professores.</w:t>
      </w:r>
    </w:p>
    <w:p w:rsidR="00447C59" w:rsidRPr="002509DC" w:rsidRDefault="00447C59" w:rsidP="009D6C64">
      <w:pPr>
        <w:autoSpaceDE w:val="0"/>
        <w:autoSpaceDN w:val="0"/>
        <w:adjustRightInd w:val="0"/>
        <w:jc w:val="both"/>
        <w:rPr>
          <w:rFonts w:ascii="Arial" w:hAnsi="Arial" w:cs="Arial"/>
          <w:color w:val="000000"/>
        </w:rPr>
      </w:pPr>
    </w:p>
    <w:p w:rsidR="00447C59" w:rsidRPr="002509DC" w:rsidRDefault="00447C59" w:rsidP="009D6C64">
      <w:pPr>
        <w:autoSpaceDE w:val="0"/>
        <w:autoSpaceDN w:val="0"/>
        <w:adjustRightInd w:val="0"/>
        <w:jc w:val="both"/>
        <w:rPr>
          <w:rFonts w:ascii="Arial" w:hAnsi="Arial" w:cs="Arial"/>
          <w:b/>
          <w:color w:val="000000"/>
        </w:rPr>
      </w:pPr>
      <w:r w:rsidRPr="002509DC">
        <w:rPr>
          <w:rFonts w:ascii="Arial" w:hAnsi="Arial" w:cs="Arial"/>
          <w:b/>
          <w:color w:val="000000"/>
        </w:rPr>
        <w:t>Do número de orientações e pagamento</w:t>
      </w:r>
    </w:p>
    <w:p w:rsidR="00447C59" w:rsidRPr="002509DC" w:rsidRDefault="00447C59" w:rsidP="009D6C64">
      <w:pPr>
        <w:autoSpaceDE w:val="0"/>
        <w:autoSpaceDN w:val="0"/>
        <w:adjustRightInd w:val="0"/>
        <w:jc w:val="both"/>
        <w:rPr>
          <w:rFonts w:ascii="Arial" w:hAnsi="Arial" w:cs="Arial"/>
          <w:b/>
          <w:color w:val="000000"/>
        </w:rPr>
      </w:pPr>
    </w:p>
    <w:p w:rsidR="00447C59" w:rsidRPr="00A95181" w:rsidRDefault="00447C59" w:rsidP="009D6C64">
      <w:pPr>
        <w:autoSpaceDE w:val="0"/>
        <w:autoSpaceDN w:val="0"/>
        <w:adjustRightInd w:val="0"/>
        <w:jc w:val="both"/>
        <w:rPr>
          <w:rFonts w:ascii="Arial" w:hAnsi="Arial" w:cs="Arial"/>
          <w:b/>
        </w:rPr>
      </w:pPr>
      <w:r w:rsidRPr="002509DC">
        <w:rPr>
          <w:rFonts w:ascii="Arial" w:hAnsi="Arial" w:cs="Arial"/>
          <w:color w:val="000000"/>
        </w:rPr>
        <w:t>Art. 3</w:t>
      </w:r>
      <w:r w:rsidR="00333838">
        <w:rPr>
          <w:rFonts w:ascii="Arial" w:hAnsi="Arial" w:cs="Arial"/>
          <w:color w:val="000000"/>
        </w:rPr>
        <w:t>º</w:t>
      </w:r>
      <w:r w:rsidRPr="002509DC">
        <w:rPr>
          <w:rFonts w:ascii="Arial" w:hAnsi="Arial" w:cs="Arial"/>
          <w:color w:val="000000"/>
        </w:rPr>
        <w:t xml:space="preserve"> – Cada profissional/professor poderá orientar até</w:t>
      </w:r>
      <w:r w:rsidR="00333838">
        <w:rPr>
          <w:rFonts w:ascii="Arial" w:hAnsi="Arial" w:cs="Arial"/>
          <w:color w:val="000000"/>
        </w:rPr>
        <w:t>, no máximo,</w:t>
      </w:r>
      <w:r w:rsidRPr="002509DC">
        <w:rPr>
          <w:rFonts w:ascii="Arial" w:hAnsi="Arial" w:cs="Arial"/>
          <w:color w:val="000000"/>
        </w:rPr>
        <w:t xml:space="preserve"> </w:t>
      </w:r>
      <w:proofErr w:type="gramStart"/>
      <w:r w:rsidRPr="002509DC">
        <w:rPr>
          <w:rFonts w:ascii="Arial" w:hAnsi="Arial" w:cs="Arial"/>
          <w:color w:val="000000"/>
        </w:rPr>
        <w:t>5</w:t>
      </w:r>
      <w:proofErr w:type="gramEnd"/>
      <w:r w:rsidR="00333838">
        <w:rPr>
          <w:rFonts w:ascii="Arial" w:hAnsi="Arial" w:cs="Arial"/>
          <w:color w:val="000000"/>
        </w:rPr>
        <w:t xml:space="preserve"> (cinco)</w:t>
      </w:r>
      <w:r w:rsidRPr="002509DC">
        <w:rPr>
          <w:rFonts w:ascii="Arial" w:hAnsi="Arial" w:cs="Arial"/>
          <w:color w:val="000000"/>
        </w:rPr>
        <w:t xml:space="preserve"> alunos e receberá pró</w:t>
      </w:r>
      <w:r w:rsidR="00333838">
        <w:rPr>
          <w:rFonts w:ascii="Arial" w:hAnsi="Arial" w:cs="Arial"/>
          <w:color w:val="000000"/>
        </w:rPr>
        <w:t>-</w:t>
      </w:r>
      <w:r w:rsidR="003D5A51">
        <w:rPr>
          <w:rFonts w:ascii="Arial" w:hAnsi="Arial" w:cs="Arial"/>
          <w:color w:val="000000"/>
        </w:rPr>
        <w:t xml:space="preserve">labore, cujo valor será definido pelo Conselho Administrativo da </w:t>
      </w:r>
      <w:proofErr w:type="spellStart"/>
      <w:r w:rsidR="003D5A51">
        <w:rPr>
          <w:rFonts w:ascii="Arial" w:hAnsi="Arial" w:cs="Arial"/>
          <w:color w:val="000000"/>
        </w:rPr>
        <w:t>Faespe</w:t>
      </w:r>
      <w:proofErr w:type="spellEnd"/>
      <w:r w:rsidR="003D5A51">
        <w:rPr>
          <w:rFonts w:ascii="Arial" w:hAnsi="Arial" w:cs="Arial"/>
          <w:color w:val="000000"/>
        </w:rPr>
        <w:t>.</w:t>
      </w:r>
    </w:p>
    <w:p w:rsidR="00447C59" w:rsidRPr="002509DC" w:rsidRDefault="00447C59" w:rsidP="009D6C64">
      <w:pPr>
        <w:autoSpaceDE w:val="0"/>
        <w:autoSpaceDN w:val="0"/>
        <w:adjustRightInd w:val="0"/>
        <w:jc w:val="both"/>
        <w:rPr>
          <w:rFonts w:ascii="Arial" w:hAnsi="Arial" w:cs="Arial"/>
          <w:color w:val="000000"/>
        </w:rPr>
      </w:pPr>
      <w:r w:rsidRPr="002509DC">
        <w:rPr>
          <w:rFonts w:ascii="Arial" w:hAnsi="Arial" w:cs="Arial"/>
          <w:color w:val="000000"/>
        </w:rPr>
        <w:t xml:space="preserve">I – O pagamento do pró-labore referente às orientações será efetuado após a finalização, avaliação da </w:t>
      </w:r>
      <w:r w:rsidR="00333838">
        <w:rPr>
          <w:rFonts w:ascii="Arial" w:hAnsi="Arial" w:cs="Arial"/>
          <w:color w:val="000000"/>
        </w:rPr>
        <w:t>B</w:t>
      </w:r>
      <w:r w:rsidRPr="002509DC">
        <w:rPr>
          <w:rFonts w:ascii="Arial" w:hAnsi="Arial" w:cs="Arial"/>
          <w:color w:val="000000"/>
        </w:rPr>
        <w:t xml:space="preserve">anca </w:t>
      </w:r>
      <w:r w:rsidR="00333838">
        <w:rPr>
          <w:rFonts w:ascii="Arial" w:hAnsi="Arial" w:cs="Arial"/>
          <w:color w:val="000000"/>
        </w:rPr>
        <w:t>A</w:t>
      </w:r>
      <w:r w:rsidRPr="002509DC">
        <w:rPr>
          <w:rFonts w:ascii="Arial" w:hAnsi="Arial" w:cs="Arial"/>
          <w:color w:val="000000"/>
        </w:rPr>
        <w:t>valiadora, correção e entrega final da monografia ao professor de TCC.</w:t>
      </w:r>
    </w:p>
    <w:p w:rsidR="00447C59" w:rsidRPr="002509DC" w:rsidRDefault="00447C59" w:rsidP="009D6C64">
      <w:pPr>
        <w:autoSpaceDE w:val="0"/>
        <w:autoSpaceDN w:val="0"/>
        <w:adjustRightInd w:val="0"/>
        <w:jc w:val="both"/>
        <w:rPr>
          <w:rFonts w:ascii="Arial" w:hAnsi="Arial" w:cs="Arial"/>
          <w:color w:val="000000"/>
        </w:rPr>
      </w:pPr>
    </w:p>
    <w:p w:rsidR="00447C59" w:rsidRPr="002509DC" w:rsidRDefault="00447C59" w:rsidP="009D6C64">
      <w:pPr>
        <w:autoSpaceDE w:val="0"/>
        <w:autoSpaceDN w:val="0"/>
        <w:adjustRightInd w:val="0"/>
        <w:jc w:val="both"/>
        <w:rPr>
          <w:rFonts w:ascii="Arial" w:hAnsi="Arial" w:cs="Arial"/>
          <w:b/>
          <w:color w:val="000000"/>
        </w:rPr>
      </w:pPr>
      <w:r w:rsidRPr="002509DC">
        <w:rPr>
          <w:rFonts w:ascii="Arial" w:hAnsi="Arial" w:cs="Arial"/>
          <w:b/>
          <w:color w:val="000000"/>
        </w:rPr>
        <w:t xml:space="preserve">Da avaliação e socialização do TCC </w:t>
      </w:r>
    </w:p>
    <w:p w:rsidR="00447C59" w:rsidRPr="002509DC" w:rsidRDefault="00447C59" w:rsidP="009D6C64">
      <w:pPr>
        <w:autoSpaceDE w:val="0"/>
        <w:autoSpaceDN w:val="0"/>
        <w:adjustRightInd w:val="0"/>
        <w:jc w:val="both"/>
        <w:rPr>
          <w:rFonts w:ascii="Arial" w:hAnsi="Arial" w:cs="Arial"/>
          <w:b/>
          <w:color w:val="000000"/>
        </w:rPr>
      </w:pPr>
    </w:p>
    <w:p w:rsidR="003D5A51" w:rsidRDefault="00447C59" w:rsidP="009D6C64">
      <w:pPr>
        <w:autoSpaceDE w:val="0"/>
        <w:autoSpaceDN w:val="0"/>
        <w:adjustRightInd w:val="0"/>
        <w:jc w:val="both"/>
        <w:rPr>
          <w:rFonts w:ascii="Arial" w:hAnsi="Arial" w:cs="Arial"/>
          <w:color w:val="000000"/>
        </w:rPr>
      </w:pPr>
      <w:r w:rsidRPr="002509DC">
        <w:rPr>
          <w:rFonts w:ascii="Arial" w:hAnsi="Arial" w:cs="Arial"/>
          <w:color w:val="000000"/>
        </w:rPr>
        <w:t xml:space="preserve">Art. </w:t>
      </w:r>
      <w:r w:rsidR="00333838">
        <w:rPr>
          <w:rFonts w:ascii="Arial" w:hAnsi="Arial" w:cs="Arial"/>
          <w:color w:val="000000"/>
        </w:rPr>
        <w:t>4º</w:t>
      </w:r>
      <w:r w:rsidRPr="002509DC">
        <w:rPr>
          <w:rFonts w:ascii="Arial" w:hAnsi="Arial" w:cs="Arial"/>
          <w:color w:val="000000"/>
        </w:rPr>
        <w:t xml:space="preserve"> – A </w:t>
      </w:r>
      <w:r w:rsidR="00333838">
        <w:rPr>
          <w:rFonts w:ascii="Arial" w:hAnsi="Arial" w:cs="Arial"/>
          <w:color w:val="000000"/>
        </w:rPr>
        <w:t>B</w:t>
      </w:r>
      <w:r w:rsidRPr="002509DC">
        <w:rPr>
          <w:rFonts w:ascii="Arial" w:hAnsi="Arial" w:cs="Arial"/>
          <w:color w:val="000000"/>
        </w:rPr>
        <w:t xml:space="preserve">anca </w:t>
      </w:r>
      <w:r w:rsidR="00333838">
        <w:rPr>
          <w:rFonts w:ascii="Arial" w:hAnsi="Arial" w:cs="Arial"/>
          <w:color w:val="000000"/>
        </w:rPr>
        <w:t>A</w:t>
      </w:r>
      <w:r w:rsidRPr="002509DC">
        <w:rPr>
          <w:rFonts w:ascii="Arial" w:hAnsi="Arial" w:cs="Arial"/>
          <w:color w:val="000000"/>
        </w:rPr>
        <w:t>valiadora será definida de comum acordo entre orientador e orientado</w:t>
      </w:r>
      <w:r w:rsidR="009D6C64">
        <w:rPr>
          <w:rFonts w:ascii="Arial" w:hAnsi="Arial" w:cs="Arial"/>
          <w:color w:val="000000"/>
        </w:rPr>
        <w:t xml:space="preserve">. </w:t>
      </w:r>
    </w:p>
    <w:p w:rsidR="003D5A51" w:rsidRDefault="003D5A51" w:rsidP="009D6C64">
      <w:pPr>
        <w:autoSpaceDE w:val="0"/>
        <w:autoSpaceDN w:val="0"/>
        <w:adjustRightInd w:val="0"/>
        <w:jc w:val="both"/>
        <w:rPr>
          <w:rFonts w:ascii="Arial" w:hAnsi="Arial" w:cs="Arial"/>
          <w:color w:val="000000"/>
        </w:rPr>
      </w:pPr>
      <w:r>
        <w:rPr>
          <w:rFonts w:ascii="Arial" w:hAnsi="Arial" w:cs="Arial"/>
          <w:color w:val="000000"/>
        </w:rPr>
        <w:t xml:space="preserve">§1º </w:t>
      </w:r>
      <w:r w:rsidRPr="002509DC">
        <w:rPr>
          <w:rFonts w:ascii="Arial" w:hAnsi="Arial" w:cs="Arial"/>
          <w:color w:val="000000"/>
        </w:rPr>
        <w:t xml:space="preserve">– </w:t>
      </w:r>
      <w:r>
        <w:rPr>
          <w:rFonts w:ascii="Arial" w:hAnsi="Arial" w:cs="Arial"/>
          <w:color w:val="000000"/>
        </w:rPr>
        <w:t>Poderão compor as bancas avaliadoras</w:t>
      </w:r>
      <w:r w:rsidR="00B833D8">
        <w:rPr>
          <w:rFonts w:ascii="Arial" w:hAnsi="Arial" w:cs="Arial"/>
          <w:color w:val="000000"/>
        </w:rPr>
        <w:t xml:space="preserve"> d</w:t>
      </w:r>
      <w:r w:rsidRPr="002509DC">
        <w:rPr>
          <w:rFonts w:ascii="Arial" w:hAnsi="Arial" w:cs="Arial"/>
          <w:color w:val="000000"/>
        </w:rPr>
        <w:t xml:space="preserve">os cursos ofertados em turma única </w:t>
      </w:r>
      <w:r>
        <w:rPr>
          <w:rFonts w:ascii="Arial" w:hAnsi="Arial" w:cs="Arial"/>
          <w:color w:val="000000"/>
        </w:rPr>
        <w:t xml:space="preserve">no âmbito da </w:t>
      </w:r>
      <w:r w:rsidRPr="002509DC">
        <w:rPr>
          <w:rFonts w:ascii="Arial" w:hAnsi="Arial" w:cs="Arial"/>
        </w:rPr>
        <w:t xml:space="preserve">Diretoria de </w:t>
      </w:r>
      <w:r w:rsidRPr="002579CB">
        <w:rPr>
          <w:rFonts w:ascii="Arial" w:hAnsi="Arial" w:cs="Arial"/>
        </w:rPr>
        <w:t>Graduação</w:t>
      </w:r>
      <w:r w:rsidRPr="002509DC">
        <w:rPr>
          <w:rFonts w:ascii="Arial" w:hAnsi="Arial" w:cs="Arial"/>
          <w:color w:val="FF0000"/>
        </w:rPr>
        <w:t xml:space="preserve"> </w:t>
      </w:r>
      <w:r w:rsidRPr="002509DC">
        <w:rPr>
          <w:rFonts w:ascii="Arial" w:hAnsi="Arial" w:cs="Arial"/>
        </w:rPr>
        <w:t>Fora de Sede e Parceladas</w:t>
      </w:r>
      <w:r w:rsidRPr="002509DC">
        <w:rPr>
          <w:rFonts w:ascii="Arial" w:hAnsi="Arial" w:cs="Arial"/>
          <w:color w:val="000000"/>
        </w:rPr>
        <w:t xml:space="preserve"> professores que </w:t>
      </w:r>
      <w:r w:rsidRPr="002509DC">
        <w:rPr>
          <w:rFonts w:ascii="Arial" w:hAnsi="Arial" w:cs="Arial"/>
          <w:color w:val="000000"/>
        </w:rPr>
        <w:lastRenderedPageBreak/>
        <w:t>ministraram disciplinas nas referidas turmas, professores e profissionais</w:t>
      </w:r>
      <w:r>
        <w:rPr>
          <w:rFonts w:ascii="Arial" w:hAnsi="Arial" w:cs="Arial"/>
          <w:color w:val="000000"/>
        </w:rPr>
        <w:t xml:space="preserve"> de Nível Superior</w:t>
      </w:r>
      <w:r w:rsidRPr="002509DC">
        <w:rPr>
          <w:rFonts w:ascii="Arial" w:hAnsi="Arial" w:cs="Arial"/>
          <w:color w:val="000000"/>
        </w:rPr>
        <w:t xml:space="preserve"> da </w:t>
      </w:r>
      <w:proofErr w:type="spellStart"/>
      <w:r w:rsidRPr="002509DC">
        <w:rPr>
          <w:rFonts w:ascii="Arial" w:hAnsi="Arial" w:cs="Arial"/>
          <w:color w:val="000000"/>
        </w:rPr>
        <w:t>U</w:t>
      </w:r>
      <w:r>
        <w:rPr>
          <w:rFonts w:ascii="Arial" w:hAnsi="Arial" w:cs="Arial"/>
          <w:color w:val="000000"/>
        </w:rPr>
        <w:t>nemat</w:t>
      </w:r>
      <w:proofErr w:type="spellEnd"/>
      <w:r w:rsidRPr="002509DC">
        <w:rPr>
          <w:rFonts w:ascii="Arial" w:hAnsi="Arial" w:cs="Arial"/>
          <w:color w:val="000000"/>
        </w:rPr>
        <w:t xml:space="preserve"> ou de outras instituições, desde que atuem na área de formação do curso e tenham interesse na pesquisa do acadêmico.</w:t>
      </w:r>
    </w:p>
    <w:p w:rsidR="00447C59" w:rsidRPr="00A95181" w:rsidRDefault="00B833D8" w:rsidP="009D6C64">
      <w:pPr>
        <w:autoSpaceDE w:val="0"/>
        <w:autoSpaceDN w:val="0"/>
        <w:adjustRightInd w:val="0"/>
        <w:jc w:val="both"/>
        <w:rPr>
          <w:rFonts w:ascii="Arial" w:hAnsi="Arial" w:cs="Arial"/>
        </w:rPr>
      </w:pPr>
      <w:r>
        <w:rPr>
          <w:rFonts w:ascii="Arial" w:hAnsi="Arial" w:cs="Arial"/>
          <w:color w:val="000000"/>
        </w:rPr>
        <w:t xml:space="preserve">I - </w:t>
      </w:r>
      <w:r w:rsidR="009D6C64">
        <w:rPr>
          <w:rFonts w:ascii="Arial" w:hAnsi="Arial" w:cs="Arial"/>
          <w:color w:val="000000"/>
        </w:rPr>
        <w:t>Os membros da Banca Avaliadora emitirão nota aos trabalhos de conclusão de Curso corrigidos</w:t>
      </w:r>
      <w:r w:rsidR="00447C59" w:rsidRPr="002509DC">
        <w:rPr>
          <w:rFonts w:ascii="Arial" w:hAnsi="Arial" w:cs="Arial"/>
          <w:color w:val="000000"/>
        </w:rPr>
        <w:t xml:space="preserve"> e a apresentação da monografia pelo aluno </w:t>
      </w:r>
      <w:r w:rsidR="009D6C64">
        <w:rPr>
          <w:rFonts w:ascii="Arial" w:hAnsi="Arial" w:cs="Arial"/>
          <w:color w:val="000000"/>
        </w:rPr>
        <w:t>será realizada</w:t>
      </w:r>
      <w:r w:rsidR="003D5AE7">
        <w:rPr>
          <w:rFonts w:ascii="Arial" w:hAnsi="Arial" w:cs="Arial"/>
          <w:color w:val="000000"/>
        </w:rPr>
        <w:t xml:space="preserve"> em eventos organizados pelo professor de TCC</w:t>
      </w:r>
      <w:r w:rsidR="00CF2F0C">
        <w:rPr>
          <w:rFonts w:ascii="Arial" w:hAnsi="Arial" w:cs="Arial"/>
          <w:color w:val="000000"/>
        </w:rPr>
        <w:t>,</w:t>
      </w:r>
      <w:bookmarkStart w:id="0" w:name="_GoBack"/>
      <w:bookmarkEnd w:id="0"/>
      <w:r w:rsidR="003D5AE7">
        <w:rPr>
          <w:rFonts w:ascii="Arial" w:hAnsi="Arial" w:cs="Arial"/>
          <w:color w:val="000000"/>
        </w:rPr>
        <w:t xml:space="preserve"> em cada núcleo pedagógico, que </w:t>
      </w:r>
      <w:r w:rsidR="009D6C64">
        <w:rPr>
          <w:rFonts w:ascii="Arial" w:hAnsi="Arial" w:cs="Arial"/>
          <w:color w:val="000000"/>
        </w:rPr>
        <w:t xml:space="preserve"> ocorrerá no final do Curso.</w:t>
      </w:r>
    </w:p>
    <w:p w:rsidR="00447C59" w:rsidRPr="002509DC" w:rsidRDefault="00447C59" w:rsidP="009D6C64">
      <w:pPr>
        <w:autoSpaceDE w:val="0"/>
        <w:autoSpaceDN w:val="0"/>
        <w:adjustRightInd w:val="0"/>
        <w:jc w:val="both"/>
        <w:rPr>
          <w:rFonts w:ascii="Arial" w:hAnsi="Arial" w:cs="Arial"/>
          <w:color w:val="000000"/>
        </w:rPr>
      </w:pPr>
      <w:r w:rsidRPr="002509DC">
        <w:rPr>
          <w:rFonts w:ascii="Arial" w:hAnsi="Arial" w:cs="Arial"/>
          <w:color w:val="000000"/>
        </w:rPr>
        <w:t>I</w:t>
      </w:r>
      <w:r w:rsidR="00B833D8">
        <w:rPr>
          <w:rFonts w:ascii="Arial" w:hAnsi="Arial" w:cs="Arial"/>
          <w:color w:val="000000"/>
        </w:rPr>
        <w:t>I</w:t>
      </w:r>
      <w:r w:rsidRPr="002509DC">
        <w:rPr>
          <w:rFonts w:ascii="Arial" w:hAnsi="Arial" w:cs="Arial"/>
          <w:color w:val="000000"/>
        </w:rPr>
        <w:t xml:space="preserve"> – O professor de TCC será responsável pela organização do cronograma de </w:t>
      </w:r>
      <w:r w:rsidR="009D6C64">
        <w:rPr>
          <w:rFonts w:ascii="Arial" w:hAnsi="Arial" w:cs="Arial"/>
          <w:color w:val="000000"/>
        </w:rPr>
        <w:t>acompanhamento e avaliações das monografias.</w:t>
      </w:r>
    </w:p>
    <w:p w:rsidR="00447C59" w:rsidRPr="002509DC" w:rsidRDefault="00447C59" w:rsidP="009D6C64">
      <w:pPr>
        <w:autoSpaceDE w:val="0"/>
        <w:autoSpaceDN w:val="0"/>
        <w:adjustRightInd w:val="0"/>
        <w:jc w:val="both"/>
        <w:rPr>
          <w:rFonts w:ascii="Arial" w:hAnsi="Arial" w:cs="Arial"/>
          <w:color w:val="000000"/>
        </w:rPr>
      </w:pPr>
      <w:r w:rsidRPr="002509DC">
        <w:rPr>
          <w:rFonts w:ascii="Arial" w:hAnsi="Arial" w:cs="Arial"/>
          <w:color w:val="000000"/>
        </w:rPr>
        <w:t>II</w:t>
      </w:r>
      <w:r w:rsidR="00B833D8">
        <w:rPr>
          <w:rFonts w:ascii="Arial" w:hAnsi="Arial" w:cs="Arial"/>
          <w:color w:val="000000"/>
        </w:rPr>
        <w:t>I</w:t>
      </w:r>
      <w:r w:rsidRPr="002509DC">
        <w:rPr>
          <w:rFonts w:ascii="Arial" w:hAnsi="Arial" w:cs="Arial"/>
          <w:color w:val="000000"/>
        </w:rPr>
        <w:t xml:space="preserve"> – O coordenador do curso será responsável por disponibilizar nos núcleos as condições necessárias para a apresentação dos alunos.</w:t>
      </w:r>
    </w:p>
    <w:p w:rsidR="00447C59" w:rsidRPr="002509DC" w:rsidRDefault="00447C59" w:rsidP="009D6C64">
      <w:pPr>
        <w:autoSpaceDE w:val="0"/>
        <w:autoSpaceDN w:val="0"/>
        <w:adjustRightInd w:val="0"/>
        <w:jc w:val="both"/>
        <w:rPr>
          <w:rFonts w:ascii="Arial" w:hAnsi="Arial" w:cs="Arial"/>
          <w:color w:val="000000"/>
        </w:rPr>
      </w:pPr>
      <w:r w:rsidRPr="002509DC">
        <w:rPr>
          <w:rFonts w:ascii="Arial" w:hAnsi="Arial" w:cs="Arial"/>
        </w:rPr>
        <w:t>I</w:t>
      </w:r>
      <w:r w:rsidR="00B833D8">
        <w:rPr>
          <w:rFonts w:ascii="Arial" w:hAnsi="Arial" w:cs="Arial"/>
        </w:rPr>
        <w:t>V</w:t>
      </w:r>
      <w:r w:rsidRPr="002509DC">
        <w:rPr>
          <w:rFonts w:ascii="Arial" w:hAnsi="Arial" w:cs="Arial"/>
        </w:rPr>
        <w:t xml:space="preserve"> – Compete ao professor de TCC disponibilizar as fichas com os critérios para avaliação aos membros de bancas avaliadoras em cada etapa de avaliação. As fichas com as notas atribuídas pelos membros das bancas avaliadoras serão entregues ao professor de TCC para os devidos registros no diário da disciplina.</w:t>
      </w:r>
    </w:p>
    <w:p w:rsidR="00447C59" w:rsidRPr="002509DC" w:rsidRDefault="00447C59" w:rsidP="009D6C64">
      <w:pPr>
        <w:autoSpaceDE w:val="0"/>
        <w:autoSpaceDN w:val="0"/>
        <w:adjustRightInd w:val="0"/>
        <w:jc w:val="both"/>
        <w:rPr>
          <w:rFonts w:ascii="Arial" w:hAnsi="Arial" w:cs="Arial"/>
          <w:color w:val="000000"/>
        </w:rPr>
      </w:pPr>
    </w:p>
    <w:p w:rsidR="00447C59" w:rsidRPr="002509DC" w:rsidRDefault="00447C59" w:rsidP="009D6C64">
      <w:pPr>
        <w:autoSpaceDE w:val="0"/>
        <w:autoSpaceDN w:val="0"/>
        <w:adjustRightInd w:val="0"/>
        <w:jc w:val="both"/>
        <w:rPr>
          <w:rFonts w:ascii="Arial" w:hAnsi="Arial" w:cs="Arial"/>
          <w:color w:val="000000"/>
        </w:rPr>
      </w:pPr>
    </w:p>
    <w:p w:rsidR="00447C59" w:rsidRPr="009D6C64" w:rsidRDefault="00447C59" w:rsidP="009D6C64">
      <w:pPr>
        <w:autoSpaceDE w:val="0"/>
        <w:autoSpaceDN w:val="0"/>
        <w:adjustRightInd w:val="0"/>
        <w:jc w:val="both"/>
        <w:rPr>
          <w:rFonts w:ascii="Arial" w:hAnsi="Arial" w:cs="Arial"/>
          <w:b/>
        </w:rPr>
      </w:pPr>
      <w:r w:rsidRPr="009D6C64">
        <w:rPr>
          <w:rFonts w:ascii="Arial" w:hAnsi="Arial" w:cs="Arial"/>
          <w:b/>
        </w:rPr>
        <w:t xml:space="preserve">Da entrega da versão final do TCC  </w:t>
      </w:r>
    </w:p>
    <w:p w:rsidR="00447C59" w:rsidRPr="00A95181" w:rsidRDefault="00447C59" w:rsidP="009D6C64">
      <w:pPr>
        <w:autoSpaceDE w:val="0"/>
        <w:autoSpaceDN w:val="0"/>
        <w:adjustRightInd w:val="0"/>
        <w:jc w:val="both"/>
        <w:rPr>
          <w:rFonts w:ascii="Arial" w:hAnsi="Arial" w:cs="Arial"/>
          <w:b/>
        </w:rPr>
      </w:pPr>
    </w:p>
    <w:p w:rsidR="00447C59" w:rsidRPr="002509DC" w:rsidRDefault="009D6C64" w:rsidP="009D6C64">
      <w:pPr>
        <w:autoSpaceDE w:val="0"/>
        <w:autoSpaceDN w:val="0"/>
        <w:adjustRightInd w:val="0"/>
        <w:jc w:val="both"/>
        <w:rPr>
          <w:rFonts w:ascii="Arial" w:hAnsi="Arial" w:cs="Arial"/>
          <w:color w:val="000000"/>
        </w:rPr>
      </w:pPr>
      <w:r>
        <w:rPr>
          <w:rFonts w:ascii="Arial" w:hAnsi="Arial" w:cs="Arial"/>
          <w:color w:val="000000"/>
        </w:rPr>
        <w:t xml:space="preserve">Art. 5º. </w:t>
      </w:r>
      <w:r w:rsidR="00447C59" w:rsidRPr="002509DC">
        <w:rPr>
          <w:rFonts w:ascii="Arial" w:hAnsi="Arial" w:cs="Arial"/>
          <w:color w:val="000000"/>
        </w:rPr>
        <w:t xml:space="preserve">A versão final do TCC poderá ser entregue digital, em formato PDF, em CD-ROM, ou física.  Sugere-se que o docente responsável pela disciplina de TCC oriente seus discentes no sentido de entregarem em versão digital.  </w:t>
      </w:r>
    </w:p>
    <w:p w:rsidR="00447C59" w:rsidRPr="002509DC" w:rsidRDefault="00447C59" w:rsidP="007443B1">
      <w:pPr>
        <w:jc w:val="both"/>
        <w:rPr>
          <w:rFonts w:ascii="Arial" w:hAnsi="Arial" w:cs="Arial"/>
          <w:b/>
        </w:rPr>
      </w:pPr>
    </w:p>
    <w:p w:rsidR="006D62A5" w:rsidRPr="002509DC" w:rsidRDefault="006D62A5" w:rsidP="007443B1">
      <w:pPr>
        <w:jc w:val="both"/>
        <w:rPr>
          <w:rFonts w:ascii="Arial" w:hAnsi="Arial" w:cs="Arial"/>
        </w:rPr>
      </w:pPr>
      <w:r w:rsidRPr="002509DC">
        <w:rPr>
          <w:rFonts w:ascii="Arial" w:hAnsi="Arial" w:cs="Arial"/>
        </w:rPr>
        <w:t xml:space="preserve">Art. </w:t>
      </w:r>
      <w:r w:rsidR="00F36B17" w:rsidRPr="002509DC">
        <w:rPr>
          <w:rFonts w:ascii="Arial" w:hAnsi="Arial" w:cs="Arial"/>
        </w:rPr>
        <w:t>6</w:t>
      </w:r>
      <w:r w:rsidRPr="002509DC">
        <w:rPr>
          <w:rFonts w:ascii="Arial" w:hAnsi="Arial" w:cs="Arial"/>
        </w:rPr>
        <w:t>º. Os casos omissos serão resolvidos pelo Colegiado da Faculdade ao qual estão vinculados os cursos d</w:t>
      </w:r>
      <w:r w:rsidR="00A51602" w:rsidRPr="002509DC">
        <w:rPr>
          <w:rFonts w:ascii="Arial" w:hAnsi="Arial" w:cs="Arial"/>
        </w:rPr>
        <w:t>e cada</w:t>
      </w:r>
      <w:r w:rsidRPr="002509DC">
        <w:rPr>
          <w:rFonts w:ascii="Arial" w:hAnsi="Arial" w:cs="Arial"/>
        </w:rPr>
        <w:t xml:space="preserve"> região </w:t>
      </w:r>
      <w:proofErr w:type="spellStart"/>
      <w:r w:rsidRPr="002509DC">
        <w:rPr>
          <w:rFonts w:ascii="Arial" w:hAnsi="Arial" w:cs="Arial"/>
        </w:rPr>
        <w:t>geoeduca</w:t>
      </w:r>
      <w:r w:rsidR="00F04572">
        <w:rPr>
          <w:rFonts w:ascii="Arial" w:hAnsi="Arial" w:cs="Arial"/>
        </w:rPr>
        <w:t>c</w:t>
      </w:r>
      <w:r w:rsidRPr="002509DC">
        <w:rPr>
          <w:rFonts w:ascii="Arial" w:hAnsi="Arial" w:cs="Arial"/>
        </w:rPr>
        <w:t>ional</w:t>
      </w:r>
      <w:proofErr w:type="spellEnd"/>
      <w:r w:rsidRPr="002509DC">
        <w:rPr>
          <w:rFonts w:ascii="Arial" w:hAnsi="Arial" w:cs="Arial"/>
        </w:rPr>
        <w:t>.</w:t>
      </w:r>
    </w:p>
    <w:p w:rsidR="006D62A5" w:rsidRDefault="006D62A5" w:rsidP="007443B1">
      <w:pPr>
        <w:jc w:val="both"/>
        <w:rPr>
          <w:rFonts w:ascii="Arial" w:hAnsi="Arial" w:cs="Arial"/>
        </w:rPr>
      </w:pPr>
    </w:p>
    <w:p w:rsidR="006D62A5" w:rsidRPr="002509DC" w:rsidRDefault="006D62A5" w:rsidP="007443B1">
      <w:pPr>
        <w:jc w:val="both"/>
        <w:rPr>
          <w:rFonts w:ascii="Arial" w:hAnsi="Arial" w:cs="Arial"/>
        </w:rPr>
      </w:pPr>
      <w:r w:rsidRPr="002509DC">
        <w:rPr>
          <w:rFonts w:ascii="Arial" w:hAnsi="Arial" w:cs="Arial"/>
        </w:rPr>
        <w:t xml:space="preserve">Art. 7º. Esta </w:t>
      </w:r>
      <w:r w:rsidR="00AC4277">
        <w:rPr>
          <w:rFonts w:ascii="Arial" w:hAnsi="Arial" w:cs="Arial"/>
        </w:rPr>
        <w:t>Resolução</w:t>
      </w:r>
      <w:r w:rsidRPr="002509DC">
        <w:rPr>
          <w:rFonts w:ascii="Arial" w:hAnsi="Arial" w:cs="Arial"/>
        </w:rPr>
        <w:t xml:space="preserve"> entra em vigor na data de sua publicação. </w:t>
      </w:r>
    </w:p>
    <w:p w:rsidR="006D62A5" w:rsidRPr="002509DC" w:rsidRDefault="006D62A5" w:rsidP="007443B1">
      <w:pPr>
        <w:jc w:val="both"/>
        <w:rPr>
          <w:rFonts w:ascii="Arial" w:hAnsi="Arial" w:cs="Arial"/>
        </w:rPr>
      </w:pPr>
    </w:p>
    <w:p w:rsidR="006D62A5" w:rsidRPr="002509DC" w:rsidRDefault="006D62A5" w:rsidP="007443B1">
      <w:pPr>
        <w:jc w:val="both"/>
        <w:rPr>
          <w:rFonts w:ascii="Arial" w:hAnsi="Arial" w:cs="Arial"/>
        </w:rPr>
      </w:pPr>
      <w:r w:rsidRPr="002509DC">
        <w:rPr>
          <w:rFonts w:ascii="Arial" w:hAnsi="Arial" w:cs="Arial"/>
        </w:rPr>
        <w:t xml:space="preserve">Publique-se. </w:t>
      </w:r>
    </w:p>
    <w:p w:rsidR="006D62A5" w:rsidRPr="002509DC" w:rsidRDefault="006D62A5" w:rsidP="007443B1">
      <w:pPr>
        <w:jc w:val="both"/>
        <w:rPr>
          <w:rFonts w:ascii="Arial" w:hAnsi="Arial" w:cs="Arial"/>
        </w:rPr>
      </w:pPr>
    </w:p>
    <w:p w:rsidR="006D62A5" w:rsidRPr="002509DC" w:rsidRDefault="006D62A5" w:rsidP="007443B1">
      <w:pPr>
        <w:jc w:val="both"/>
        <w:rPr>
          <w:rFonts w:ascii="Arial" w:hAnsi="Arial" w:cs="Arial"/>
        </w:rPr>
      </w:pPr>
      <w:r w:rsidRPr="002509DC">
        <w:rPr>
          <w:rFonts w:ascii="Arial" w:hAnsi="Arial" w:cs="Arial"/>
        </w:rPr>
        <w:t xml:space="preserve">Cumpra-se. </w:t>
      </w:r>
    </w:p>
    <w:p w:rsidR="006D62A5" w:rsidRPr="002509DC" w:rsidRDefault="006D62A5" w:rsidP="007443B1">
      <w:pPr>
        <w:jc w:val="both"/>
        <w:rPr>
          <w:rFonts w:ascii="Arial" w:hAnsi="Arial" w:cs="Arial"/>
        </w:rPr>
      </w:pPr>
    </w:p>
    <w:p w:rsidR="006D62A5" w:rsidRPr="002509DC" w:rsidRDefault="006D62A5" w:rsidP="007443B1">
      <w:pPr>
        <w:jc w:val="both"/>
        <w:rPr>
          <w:rFonts w:ascii="Arial" w:hAnsi="Arial" w:cs="Arial"/>
        </w:rPr>
      </w:pPr>
      <w:r w:rsidRPr="002509DC">
        <w:rPr>
          <w:rFonts w:ascii="Arial" w:hAnsi="Arial" w:cs="Arial"/>
        </w:rPr>
        <w:t xml:space="preserve">Gabinete da Pró-reitoria de Ensino de Graduação, em Cáceres, </w:t>
      </w:r>
      <w:r w:rsidR="003D5A51">
        <w:rPr>
          <w:rFonts w:ascii="Arial" w:hAnsi="Arial" w:cs="Arial"/>
        </w:rPr>
        <w:t>1</w:t>
      </w:r>
      <w:r w:rsidRPr="002509DC">
        <w:rPr>
          <w:rFonts w:ascii="Arial" w:hAnsi="Arial" w:cs="Arial"/>
        </w:rPr>
        <w:t>1 de maio de 2016.</w:t>
      </w:r>
    </w:p>
    <w:p w:rsidR="007443B1" w:rsidRPr="002509DC" w:rsidRDefault="007443B1" w:rsidP="00F92D0D">
      <w:pPr>
        <w:jc w:val="center"/>
        <w:rPr>
          <w:rFonts w:ascii="Arial" w:hAnsi="Arial" w:cs="Arial"/>
          <w:b/>
        </w:rPr>
      </w:pPr>
    </w:p>
    <w:p w:rsidR="007443B1" w:rsidRPr="002509DC" w:rsidRDefault="007443B1" w:rsidP="00F92D0D">
      <w:pPr>
        <w:jc w:val="center"/>
        <w:rPr>
          <w:rFonts w:ascii="Arial" w:hAnsi="Arial" w:cs="Arial"/>
          <w:b/>
        </w:rPr>
      </w:pPr>
    </w:p>
    <w:p w:rsidR="00541B95" w:rsidRPr="002509DC" w:rsidRDefault="00541B95" w:rsidP="00F92D0D">
      <w:pPr>
        <w:jc w:val="center"/>
        <w:rPr>
          <w:rFonts w:ascii="Arial" w:hAnsi="Arial" w:cs="Arial"/>
          <w:b/>
        </w:rPr>
      </w:pPr>
    </w:p>
    <w:p w:rsidR="00541B95" w:rsidRPr="002509DC" w:rsidRDefault="00541B95" w:rsidP="00F92D0D">
      <w:pPr>
        <w:jc w:val="center"/>
        <w:rPr>
          <w:rFonts w:ascii="Arial" w:hAnsi="Arial" w:cs="Arial"/>
          <w:b/>
        </w:rPr>
      </w:pPr>
    </w:p>
    <w:p w:rsidR="007443B1" w:rsidRPr="002509DC" w:rsidRDefault="007443B1" w:rsidP="00F92D0D">
      <w:pPr>
        <w:jc w:val="center"/>
        <w:rPr>
          <w:rFonts w:ascii="Arial" w:hAnsi="Arial" w:cs="Arial"/>
          <w:b/>
        </w:rPr>
      </w:pPr>
    </w:p>
    <w:tbl>
      <w:tblPr>
        <w:tblW w:w="0" w:type="auto"/>
        <w:tblLook w:val="00A0"/>
      </w:tblPr>
      <w:tblGrid>
        <w:gridCol w:w="4786"/>
        <w:gridCol w:w="4312"/>
      </w:tblGrid>
      <w:tr w:rsidR="007C39D1" w:rsidRPr="002509DC" w:rsidTr="00CD2AF4">
        <w:tc>
          <w:tcPr>
            <w:tcW w:w="4786" w:type="dxa"/>
          </w:tcPr>
          <w:p w:rsidR="007C39D1" w:rsidRPr="002509DC" w:rsidRDefault="007C39D1" w:rsidP="00CD2AF4">
            <w:pPr>
              <w:autoSpaceDE w:val="0"/>
              <w:jc w:val="center"/>
              <w:rPr>
                <w:rFonts w:ascii="Arial" w:hAnsi="Arial" w:cs="Arial"/>
              </w:rPr>
            </w:pPr>
            <w:r w:rsidRPr="002509DC">
              <w:rPr>
                <w:rFonts w:ascii="Arial" w:hAnsi="Arial" w:cs="Arial"/>
              </w:rPr>
              <w:t>____________________________</w:t>
            </w:r>
          </w:p>
          <w:p w:rsidR="007C39D1" w:rsidRPr="002509DC" w:rsidRDefault="007C39D1" w:rsidP="00CD2AF4">
            <w:pPr>
              <w:autoSpaceDE w:val="0"/>
              <w:jc w:val="center"/>
              <w:rPr>
                <w:rFonts w:ascii="Arial" w:hAnsi="Arial" w:cs="Arial"/>
                <w:b/>
              </w:rPr>
            </w:pPr>
            <w:r w:rsidRPr="002509DC">
              <w:rPr>
                <w:rFonts w:ascii="Arial" w:hAnsi="Arial" w:cs="Arial"/>
                <w:b/>
              </w:rPr>
              <w:t xml:space="preserve">Vera Lúcia da Rocha </w:t>
            </w:r>
            <w:proofErr w:type="spellStart"/>
            <w:r w:rsidRPr="002509DC">
              <w:rPr>
                <w:rFonts w:ascii="Arial" w:hAnsi="Arial" w:cs="Arial"/>
                <w:b/>
              </w:rPr>
              <w:t>Maquea</w:t>
            </w:r>
            <w:proofErr w:type="spellEnd"/>
          </w:p>
          <w:p w:rsidR="007C39D1" w:rsidRPr="002509DC" w:rsidRDefault="007C39D1" w:rsidP="00CD2AF4">
            <w:pPr>
              <w:autoSpaceDE w:val="0"/>
              <w:jc w:val="center"/>
              <w:rPr>
                <w:rFonts w:ascii="Arial" w:hAnsi="Arial" w:cs="Arial"/>
                <w:sz w:val="20"/>
                <w:szCs w:val="20"/>
              </w:rPr>
            </w:pPr>
            <w:r w:rsidRPr="002509DC">
              <w:rPr>
                <w:rFonts w:ascii="Arial" w:hAnsi="Arial" w:cs="Arial"/>
                <w:sz w:val="20"/>
                <w:szCs w:val="20"/>
              </w:rPr>
              <w:t>Pró-reitora de Ensino de Graduação</w:t>
            </w:r>
          </w:p>
          <w:p w:rsidR="007C39D1" w:rsidRPr="002509DC" w:rsidRDefault="007C39D1" w:rsidP="00CD2AF4">
            <w:pPr>
              <w:autoSpaceDE w:val="0"/>
              <w:jc w:val="center"/>
              <w:rPr>
                <w:rFonts w:ascii="Arial" w:hAnsi="Arial" w:cs="Arial"/>
                <w:sz w:val="20"/>
                <w:szCs w:val="20"/>
              </w:rPr>
            </w:pPr>
            <w:proofErr w:type="spellStart"/>
            <w:r w:rsidRPr="002509DC">
              <w:rPr>
                <w:rFonts w:ascii="Arial" w:hAnsi="Arial" w:cs="Arial"/>
                <w:sz w:val="20"/>
                <w:szCs w:val="20"/>
              </w:rPr>
              <w:t>Unemat</w:t>
            </w:r>
            <w:proofErr w:type="spellEnd"/>
          </w:p>
          <w:p w:rsidR="007C39D1" w:rsidRPr="002509DC" w:rsidRDefault="007C39D1" w:rsidP="00CD2AF4">
            <w:pPr>
              <w:autoSpaceDE w:val="0"/>
              <w:jc w:val="center"/>
              <w:rPr>
                <w:rFonts w:ascii="Arial" w:hAnsi="Arial" w:cs="Arial"/>
              </w:rPr>
            </w:pPr>
            <w:r w:rsidRPr="002509DC">
              <w:rPr>
                <w:rFonts w:ascii="Arial" w:hAnsi="Arial" w:cs="Arial"/>
                <w:sz w:val="20"/>
                <w:szCs w:val="20"/>
              </w:rPr>
              <w:t>Portaria nº. 001/2015</w:t>
            </w:r>
          </w:p>
        </w:tc>
        <w:tc>
          <w:tcPr>
            <w:tcW w:w="4312" w:type="dxa"/>
          </w:tcPr>
          <w:p w:rsidR="007C39D1" w:rsidRPr="002509DC" w:rsidRDefault="007C39D1" w:rsidP="00CD2AF4">
            <w:pPr>
              <w:autoSpaceDE w:val="0"/>
              <w:jc w:val="center"/>
              <w:rPr>
                <w:rFonts w:ascii="Arial" w:hAnsi="Arial" w:cs="Arial"/>
              </w:rPr>
            </w:pPr>
            <w:r w:rsidRPr="002509DC">
              <w:rPr>
                <w:rFonts w:ascii="Arial" w:hAnsi="Arial" w:cs="Arial"/>
              </w:rPr>
              <w:t>____________________________</w:t>
            </w:r>
          </w:p>
          <w:p w:rsidR="007C39D1" w:rsidRPr="002509DC" w:rsidRDefault="007C39D1" w:rsidP="00CD2AF4">
            <w:pPr>
              <w:autoSpaceDE w:val="0"/>
              <w:jc w:val="center"/>
              <w:rPr>
                <w:rFonts w:ascii="Arial" w:hAnsi="Arial" w:cs="Arial"/>
                <w:b/>
              </w:rPr>
            </w:pPr>
            <w:r w:rsidRPr="002509DC">
              <w:rPr>
                <w:rFonts w:ascii="Arial" w:hAnsi="Arial" w:cs="Arial"/>
                <w:b/>
              </w:rPr>
              <w:t>Evaldo Ferreira</w:t>
            </w:r>
          </w:p>
          <w:p w:rsidR="007C39D1" w:rsidRPr="002509DC" w:rsidRDefault="007C39D1" w:rsidP="00CD2AF4">
            <w:pPr>
              <w:autoSpaceDE w:val="0"/>
              <w:jc w:val="center"/>
              <w:rPr>
                <w:rFonts w:ascii="Arial" w:hAnsi="Arial" w:cs="Arial"/>
                <w:sz w:val="20"/>
                <w:szCs w:val="20"/>
              </w:rPr>
            </w:pPr>
            <w:r w:rsidRPr="002509DC">
              <w:rPr>
                <w:rFonts w:ascii="Arial" w:hAnsi="Arial" w:cs="Arial"/>
                <w:sz w:val="20"/>
                <w:szCs w:val="20"/>
              </w:rPr>
              <w:t xml:space="preserve">Diretor de Graduação Fora Sede e Parceladas - </w:t>
            </w:r>
            <w:proofErr w:type="spellStart"/>
            <w:r w:rsidRPr="002509DC">
              <w:rPr>
                <w:rFonts w:ascii="Arial" w:hAnsi="Arial" w:cs="Arial"/>
                <w:sz w:val="20"/>
                <w:szCs w:val="20"/>
              </w:rPr>
              <w:t>Unemat</w:t>
            </w:r>
            <w:proofErr w:type="spellEnd"/>
          </w:p>
          <w:p w:rsidR="007C39D1" w:rsidRPr="002509DC" w:rsidRDefault="007C39D1" w:rsidP="007C39D1">
            <w:pPr>
              <w:autoSpaceDE w:val="0"/>
              <w:jc w:val="center"/>
              <w:rPr>
                <w:rFonts w:ascii="Arial" w:hAnsi="Arial" w:cs="Arial"/>
              </w:rPr>
            </w:pPr>
            <w:r w:rsidRPr="002509DC">
              <w:rPr>
                <w:rFonts w:ascii="Arial" w:hAnsi="Arial" w:cs="Arial"/>
                <w:sz w:val="20"/>
                <w:szCs w:val="20"/>
              </w:rPr>
              <w:t>Portaria nº. 2694/2015</w:t>
            </w:r>
          </w:p>
        </w:tc>
      </w:tr>
    </w:tbl>
    <w:p w:rsidR="00F92D0D" w:rsidRPr="002509DC" w:rsidRDefault="00F92D0D" w:rsidP="007C39D1">
      <w:pPr>
        <w:jc w:val="center"/>
        <w:rPr>
          <w:rFonts w:ascii="Arial" w:hAnsi="Arial" w:cs="Arial"/>
          <w:b/>
        </w:rPr>
      </w:pPr>
    </w:p>
    <w:sectPr w:rsidR="00F92D0D" w:rsidRPr="002509DC" w:rsidSect="00AF0A35">
      <w:headerReference w:type="default" r:id="rId6"/>
      <w:footerReference w:type="default" r:id="rId7"/>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588" w:rsidRDefault="00551588" w:rsidP="008B48DF">
      <w:r>
        <w:separator/>
      </w:r>
    </w:p>
  </w:endnote>
  <w:endnote w:type="continuationSeparator" w:id="1">
    <w:p w:rsidR="00551588" w:rsidRDefault="00551588" w:rsidP="008B48DF">
      <w:r>
        <w:continuationSeparator/>
      </w:r>
    </w:p>
  </w:endnote>
  <w:endnote w:type="continuationNotice" w:id="2">
    <w:p w:rsidR="00551588" w:rsidRDefault="00551588"/>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ler">
    <w:altName w:val="Corbe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03" w:type="dxa"/>
      <w:jc w:val="center"/>
      <w:tblBorders>
        <w:insideH w:val="single" w:sz="4" w:space="0" w:color="000000"/>
        <w:insideV w:val="single" w:sz="4" w:space="0" w:color="000000"/>
      </w:tblBorders>
      <w:tblLook w:val="00A0"/>
    </w:tblPr>
    <w:tblGrid>
      <w:gridCol w:w="6096"/>
      <w:gridCol w:w="4307"/>
    </w:tblGrid>
    <w:tr w:rsidR="001C0B63" w:rsidRPr="00BF37B1" w:rsidTr="00B17B09">
      <w:trPr>
        <w:trHeight w:val="964"/>
        <w:jc w:val="center"/>
      </w:trPr>
      <w:tc>
        <w:tcPr>
          <w:tcW w:w="6096" w:type="dxa"/>
          <w:tcBorders>
            <w:right w:val="single" w:sz="4" w:space="0" w:color="000000"/>
          </w:tcBorders>
        </w:tcPr>
        <w:p w:rsidR="001C0B63" w:rsidRPr="00CD1D08" w:rsidRDefault="00464419" w:rsidP="00B17B09">
          <w:pPr>
            <w:pStyle w:val="Rodap"/>
            <w:rPr>
              <w:rFonts w:ascii="Aller" w:hAnsi="Aller" w:cs="Arial"/>
              <w:b/>
              <w:sz w:val="18"/>
              <w:szCs w:val="18"/>
            </w:rPr>
          </w:pPr>
          <w:r w:rsidRPr="0046441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4.1pt;margin-top:5.35pt;width:77.55pt;height:36.1pt;z-index:-251658240;mso-wrap-distance-left:9.05pt;mso-wrap-distance-right:9.05pt" filled="t">
                <v:fill color2="black"/>
                <v:imagedata r:id="rId1" o:title=""/>
              </v:shape>
              <o:OLEObject Type="Embed" ProgID="PBrush" ShapeID="_x0000_s2049" DrawAspect="Content" ObjectID="_1532528445" r:id="rId2"/>
            </w:pict>
          </w:r>
          <w:r w:rsidR="001C0B63">
            <w:rPr>
              <w:rFonts w:ascii="Aller" w:hAnsi="Aller" w:cs="Arial"/>
              <w:b/>
              <w:sz w:val="18"/>
              <w:szCs w:val="18"/>
            </w:rPr>
            <w:t>Diretoria de Graduação Fora de Sede e Parceladas</w:t>
          </w:r>
        </w:p>
        <w:p w:rsidR="001C0B63" w:rsidRPr="00BF37B1" w:rsidRDefault="001C0B63" w:rsidP="00B17B09">
          <w:pPr>
            <w:pStyle w:val="Rodap"/>
            <w:rPr>
              <w:rFonts w:ascii="Aller" w:hAnsi="Aller"/>
              <w:sz w:val="16"/>
              <w:szCs w:val="16"/>
            </w:rPr>
          </w:pPr>
          <w:r>
            <w:rPr>
              <w:rFonts w:ascii="Aller" w:hAnsi="Aller"/>
              <w:sz w:val="16"/>
              <w:szCs w:val="16"/>
            </w:rPr>
            <w:t xml:space="preserve">Av. Tancredo Neves, 1095, </w:t>
          </w:r>
          <w:r w:rsidRPr="00BF37B1">
            <w:rPr>
              <w:rFonts w:ascii="Aller" w:hAnsi="Aller"/>
              <w:sz w:val="16"/>
              <w:szCs w:val="16"/>
            </w:rPr>
            <w:t>CEP: 78.200-000</w:t>
          </w:r>
          <w:r>
            <w:rPr>
              <w:rFonts w:ascii="Aller" w:hAnsi="Aller"/>
              <w:sz w:val="16"/>
              <w:szCs w:val="16"/>
            </w:rPr>
            <w:t xml:space="preserve"> Cáceres -</w:t>
          </w:r>
          <w:r w:rsidRPr="00BF37B1">
            <w:rPr>
              <w:rFonts w:ascii="Aller" w:hAnsi="Aller"/>
              <w:sz w:val="16"/>
              <w:szCs w:val="16"/>
            </w:rPr>
            <w:t xml:space="preserve"> MT.</w:t>
          </w:r>
        </w:p>
        <w:p w:rsidR="001C0B63" w:rsidRDefault="001C0B63" w:rsidP="006E241D">
          <w:pPr>
            <w:pStyle w:val="Rodap"/>
            <w:rPr>
              <w:rFonts w:ascii="Aller" w:hAnsi="Aller"/>
              <w:sz w:val="16"/>
              <w:szCs w:val="16"/>
              <w:lang w:val="en-US"/>
            </w:rPr>
          </w:pPr>
          <w:r w:rsidRPr="00BF37B1">
            <w:rPr>
              <w:rFonts w:ascii="Aller" w:hAnsi="Aller"/>
              <w:sz w:val="16"/>
              <w:szCs w:val="16"/>
              <w:lang w:val="en-US"/>
            </w:rPr>
            <w:t>Tel/PABX: (65) 32</w:t>
          </w:r>
          <w:r>
            <w:rPr>
              <w:rFonts w:ascii="Aller" w:hAnsi="Aller"/>
              <w:sz w:val="16"/>
              <w:szCs w:val="16"/>
              <w:lang w:val="en-US"/>
            </w:rPr>
            <w:t xml:space="preserve">11 – 2830 / 3211 -  2832  </w:t>
          </w:r>
          <w:hyperlink r:id="rId3" w:history="1">
            <w:r w:rsidRPr="00365683">
              <w:rPr>
                <w:rStyle w:val="Hyperlink"/>
                <w:rFonts w:ascii="Aller" w:hAnsi="Aller"/>
                <w:sz w:val="16"/>
                <w:szCs w:val="16"/>
                <w:lang w:val="en-US"/>
              </w:rPr>
              <w:t>www.unemat.br</w:t>
            </w:r>
          </w:hyperlink>
        </w:p>
        <w:p w:rsidR="001C0B63" w:rsidRPr="00BF37B1" w:rsidRDefault="001C0B63" w:rsidP="006E241D">
          <w:pPr>
            <w:pStyle w:val="Rodap"/>
            <w:rPr>
              <w:rFonts w:ascii="Aller" w:hAnsi="Aller"/>
              <w:sz w:val="16"/>
              <w:szCs w:val="16"/>
              <w:lang w:val="en-US"/>
            </w:rPr>
          </w:pPr>
          <w:r w:rsidRPr="00BF37B1">
            <w:rPr>
              <w:rFonts w:ascii="Aller" w:hAnsi="Aller"/>
              <w:sz w:val="16"/>
              <w:szCs w:val="16"/>
              <w:lang w:val="en-US"/>
            </w:rPr>
            <w:t xml:space="preserve"> E</w:t>
          </w:r>
          <w:r>
            <w:rPr>
              <w:rFonts w:ascii="Aller" w:hAnsi="Aller"/>
              <w:sz w:val="16"/>
              <w:szCs w:val="16"/>
              <w:lang w:val="en-US"/>
            </w:rPr>
            <w:t>-</w:t>
          </w:r>
          <w:r w:rsidRPr="00BF37B1">
            <w:rPr>
              <w:rFonts w:ascii="Aller" w:hAnsi="Aller"/>
              <w:sz w:val="16"/>
              <w:szCs w:val="16"/>
              <w:lang w:val="en-US"/>
            </w:rPr>
            <w:t>mail:</w:t>
          </w:r>
          <w:r>
            <w:rPr>
              <w:rFonts w:ascii="Aller" w:hAnsi="Aller"/>
              <w:sz w:val="16"/>
              <w:szCs w:val="16"/>
              <w:lang w:val="en-US"/>
            </w:rPr>
            <w:t>diretoria.parceladas@unemat.br</w:t>
          </w:r>
        </w:p>
      </w:tc>
      <w:tc>
        <w:tcPr>
          <w:tcW w:w="4307" w:type="dxa"/>
          <w:tcBorders>
            <w:left w:val="single" w:sz="4" w:space="0" w:color="000000"/>
          </w:tcBorders>
        </w:tcPr>
        <w:p w:rsidR="001C0B63" w:rsidRPr="00BF37B1" w:rsidRDefault="001C0B63" w:rsidP="00B17B09">
          <w:pPr>
            <w:pStyle w:val="Rodap"/>
            <w:jc w:val="center"/>
            <w:rPr>
              <w:rFonts w:ascii="Aller" w:hAnsi="Aller"/>
              <w:sz w:val="16"/>
              <w:szCs w:val="16"/>
            </w:rPr>
          </w:pPr>
          <w:r>
            <w:rPr>
              <w:rFonts w:ascii="Aller" w:hAnsi="Aller"/>
              <w:noProof/>
              <w:sz w:val="16"/>
              <w:szCs w:val="16"/>
              <w:lang w:eastAsia="pt-BR"/>
            </w:rPr>
            <w:drawing>
              <wp:inline distT="0" distB="0" distL="0" distR="0">
                <wp:extent cx="1916264" cy="667909"/>
                <wp:effectExtent l="0" t="0" r="8255" b="0"/>
                <wp:docPr id="3" name="Imagem 3" descr="log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logo.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6430" cy="667967"/>
                        </a:xfrm>
                        <a:prstGeom prst="rect">
                          <a:avLst/>
                        </a:prstGeom>
                        <a:noFill/>
                        <a:ln>
                          <a:noFill/>
                        </a:ln>
                      </pic:spPr>
                    </pic:pic>
                  </a:graphicData>
                </a:graphic>
              </wp:inline>
            </w:drawing>
          </w:r>
        </w:p>
      </w:tc>
    </w:tr>
  </w:tbl>
  <w:p w:rsidR="001C0B63" w:rsidRDefault="001C0B63" w:rsidP="00825859">
    <w:pPr>
      <w:pStyle w:val="Rodap"/>
      <w:rPr>
        <w:sz w:val="17"/>
        <w:szCs w:val="17"/>
      </w:rPr>
    </w:pPr>
  </w:p>
  <w:p w:rsidR="001C0B63" w:rsidRPr="00825859" w:rsidRDefault="001C0B63">
    <w:pPr>
      <w:pStyle w:val="Rodap"/>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588" w:rsidRDefault="00551588" w:rsidP="008B48DF">
      <w:r>
        <w:separator/>
      </w:r>
    </w:p>
  </w:footnote>
  <w:footnote w:type="continuationSeparator" w:id="1">
    <w:p w:rsidR="00551588" w:rsidRDefault="00551588" w:rsidP="008B48DF">
      <w:r>
        <w:continuationSeparator/>
      </w:r>
    </w:p>
  </w:footnote>
  <w:footnote w:type="continuationNotice" w:id="2">
    <w:p w:rsidR="00551588" w:rsidRDefault="0055158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698" w:type="dxa"/>
      <w:tblBorders>
        <w:insideH w:val="single" w:sz="4" w:space="0" w:color="000000"/>
      </w:tblBorders>
      <w:tblLook w:val="00A0"/>
    </w:tblPr>
    <w:tblGrid>
      <w:gridCol w:w="1625"/>
      <w:gridCol w:w="6990"/>
      <w:gridCol w:w="1308"/>
    </w:tblGrid>
    <w:tr w:rsidR="001C0B63" w:rsidRPr="00BF37B1" w:rsidTr="00B17B09">
      <w:tc>
        <w:tcPr>
          <w:tcW w:w="1487" w:type="dxa"/>
        </w:tcPr>
        <w:p w:rsidR="001C0B63" w:rsidRPr="00BF37B1" w:rsidRDefault="001C0B63" w:rsidP="00B17B09">
          <w:pPr>
            <w:pStyle w:val="Cabealho"/>
          </w:pPr>
          <w:r w:rsidRPr="00CB6367">
            <w:rPr>
              <w:noProof/>
              <w:lang w:eastAsia="pt-BR"/>
            </w:rPr>
            <w:drawing>
              <wp:anchor distT="0" distB="0" distL="114300" distR="114300" simplePos="0" relativeHeight="251657216" behindDoc="1" locked="0" layoutInCell="1" allowOverlap="0">
                <wp:simplePos x="0" y="0"/>
                <wp:positionH relativeFrom="column">
                  <wp:posOffset>-72701</wp:posOffset>
                </wp:positionH>
                <wp:positionV relativeFrom="paragraph">
                  <wp:posOffset>-845185</wp:posOffset>
                </wp:positionV>
                <wp:extent cx="875260" cy="758757"/>
                <wp:effectExtent l="19050" t="0" r="635" b="0"/>
                <wp:wrapTight wrapText="bothSides">
                  <wp:wrapPolygon edited="0">
                    <wp:start x="-470" y="0"/>
                    <wp:lineTo x="-470" y="21113"/>
                    <wp:lineTo x="21616" y="21113"/>
                    <wp:lineTo x="21616" y="0"/>
                    <wp:lineTo x="-470" y="0"/>
                  </wp:wrapPolygon>
                </wp:wrapTight>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5665" cy="760095"/>
                        </a:xfrm>
                        <a:prstGeom prst="rect">
                          <a:avLst/>
                        </a:prstGeom>
                        <a:noFill/>
                        <a:ln>
                          <a:noFill/>
                        </a:ln>
                      </pic:spPr>
                    </pic:pic>
                  </a:graphicData>
                </a:graphic>
              </wp:anchor>
            </w:drawing>
          </w:r>
        </w:p>
      </w:tc>
      <w:tc>
        <w:tcPr>
          <w:tcW w:w="7128" w:type="dxa"/>
        </w:tcPr>
        <w:p w:rsidR="001C0B63" w:rsidRDefault="001C0B63" w:rsidP="00CB6367">
          <w:pPr>
            <w:pStyle w:val="Cabealho"/>
            <w:jc w:val="center"/>
            <w:rPr>
              <w:b/>
              <w:sz w:val="20"/>
              <w:szCs w:val="20"/>
            </w:rPr>
          </w:pPr>
          <w:r w:rsidRPr="000C42D6">
            <w:rPr>
              <w:b/>
              <w:sz w:val="20"/>
              <w:szCs w:val="20"/>
            </w:rPr>
            <w:t>GOVERNO DO ESTADO DE MATO GROSSO</w:t>
          </w:r>
        </w:p>
        <w:p w:rsidR="001C0B63" w:rsidRPr="000C42D6" w:rsidRDefault="001C0B63" w:rsidP="00CB6367">
          <w:pPr>
            <w:pStyle w:val="Cabealho"/>
            <w:jc w:val="center"/>
            <w:rPr>
              <w:b/>
              <w:sz w:val="20"/>
              <w:szCs w:val="20"/>
            </w:rPr>
          </w:pPr>
          <w:r>
            <w:rPr>
              <w:b/>
              <w:sz w:val="20"/>
              <w:szCs w:val="20"/>
            </w:rPr>
            <w:t>SECRETARIA DE ESTADO DE CIÊNCIA E TECNOLOGIA</w:t>
          </w:r>
        </w:p>
        <w:p w:rsidR="001C0B63" w:rsidRPr="000C42D6" w:rsidRDefault="001C0B63" w:rsidP="00CB6367">
          <w:pPr>
            <w:pStyle w:val="Cabealho"/>
            <w:jc w:val="center"/>
            <w:rPr>
              <w:b/>
              <w:sz w:val="20"/>
              <w:szCs w:val="20"/>
            </w:rPr>
          </w:pPr>
          <w:r w:rsidRPr="000C42D6">
            <w:rPr>
              <w:b/>
              <w:sz w:val="20"/>
              <w:szCs w:val="20"/>
            </w:rPr>
            <w:t>UNIVERSIDADE DO ESTADO DE MATO GROSSO</w:t>
          </w:r>
        </w:p>
        <w:p w:rsidR="001C0B63" w:rsidRDefault="001C0B63" w:rsidP="00CB6367">
          <w:pPr>
            <w:pStyle w:val="Cabealho"/>
            <w:jc w:val="center"/>
            <w:rPr>
              <w:b/>
              <w:sz w:val="20"/>
              <w:szCs w:val="20"/>
            </w:rPr>
          </w:pPr>
          <w:r w:rsidRPr="000C42D6">
            <w:rPr>
              <w:b/>
              <w:sz w:val="20"/>
              <w:szCs w:val="20"/>
            </w:rPr>
            <w:t xml:space="preserve">PRÓ-REITORIA DE </w:t>
          </w:r>
          <w:r>
            <w:rPr>
              <w:b/>
              <w:sz w:val="20"/>
              <w:szCs w:val="20"/>
            </w:rPr>
            <w:t xml:space="preserve">ENSINO DE GRADUAÇÃO </w:t>
          </w:r>
        </w:p>
        <w:p w:rsidR="001C0B63" w:rsidRPr="00FC5329" w:rsidRDefault="001C0B63" w:rsidP="00440C0E">
          <w:pPr>
            <w:pStyle w:val="Cabealho"/>
            <w:jc w:val="center"/>
            <w:rPr>
              <w:sz w:val="20"/>
              <w:szCs w:val="20"/>
            </w:rPr>
          </w:pPr>
        </w:p>
      </w:tc>
      <w:tc>
        <w:tcPr>
          <w:tcW w:w="1308" w:type="dxa"/>
        </w:tcPr>
        <w:p w:rsidR="001C0B63" w:rsidRPr="00BF37B1" w:rsidRDefault="001C0B63" w:rsidP="00B17B09">
          <w:pPr>
            <w:pStyle w:val="Cabealho"/>
            <w:jc w:val="right"/>
          </w:pPr>
          <w:r>
            <w:rPr>
              <w:noProof/>
              <w:lang w:eastAsia="pt-BR"/>
            </w:rPr>
            <w:drawing>
              <wp:inline distT="0" distB="0" distL="0" distR="0">
                <wp:extent cx="691515" cy="715645"/>
                <wp:effectExtent l="0" t="0" r="0" b="8255"/>
                <wp:docPr id="1" name="Imagem 1" descr="Brasão une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Brasão unemat.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715645"/>
                        </a:xfrm>
                        <a:prstGeom prst="rect">
                          <a:avLst/>
                        </a:prstGeom>
                        <a:noFill/>
                        <a:ln>
                          <a:noFill/>
                        </a:ln>
                      </pic:spPr>
                    </pic:pic>
                  </a:graphicData>
                </a:graphic>
              </wp:inline>
            </w:drawing>
          </w:r>
        </w:p>
      </w:tc>
    </w:tr>
  </w:tbl>
  <w:p w:rsidR="001C0B63" w:rsidRDefault="001C0B6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0"/>
    <w:footnote w:id="1"/>
    <w:footnote w:id="2"/>
  </w:footnotePr>
  <w:endnotePr>
    <w:endnote w:id="0"/>
    <w:endnote w:id="1"/>
    <w:endnote w:id="2"/>
  </w:endnotePr>
  <w:compat/>
  <w:rsids>
    <w:rsidRoot w:val="008B48DF"/>
    <w:rsid w:val="000006FA"/>
    <w:rsid w:val="00016690"/>
    <w:rsid w:val="00034C0B"/>
    <w:rsid w:val="0003735A"/>
    <w:rsid w:val="00046E62"/>
    <w:rsid w:val="00055F86"/>
    <w:rsid w:val="000565C3"/>
    <w:rsid w:val="0006718E"/>
    <w:rsid w:val="00082665"/>
    <w:rsid w:val="00085812"/>
    <w:rsid w:val="00086C6C"/>
    <w:rsid w:val="00094436"/>
    <w:rsid w:val="00096F89"/>
    <w:rsid w:val="000A2F51"/>
    <w:rsid w:val="000B01F3"/>
    <w:rsid w:val="000B6E0F"/>
    <w:rsid w:val="000D5911"/>
    <w:rsid w:val="000F0FF3"/>
    <w:rsid w:val="00100256"/>
    <w:rsid w:val="001055AC"/>
    <w:rsid w:val="001055C8"/>
    <w:rsid w:val="00105D11"/>
    <w:rsid w:val="00107C66"/>
    <w:rsid w:val="00110B5B"/>
    <w:rsid w:val="00124826"/>
    <w:rsid w:val="0012612E"/>
    <w:rsid w:val="0015030E"/>
    <w:rsid w:val="0015273B"/>
    <w:rsid w:val="0016108A"/>
    <w:rsid w:val="00171682"/>
    <w:rsid w:val="00172E37"/>
    <w:rsid w:val="001767FC"/>
    <w:rsid w:val="0018353C"/>
    <w:rsid w:val="00192B08"/>
    <w:rsid w:val="001A3574"/>
    <w:rsid w:val="001A48D4"/>
    <w:rsid w:val="001A5F5E"/>
    <w:rsid w:val="001A72F4"/>
    <w:rsid w:val="001B7814"/>
    <w:rsid w:val="001C0B63"/>
    <w:rsid w:val="001C7595"/>
    <w:rsid w:val="001E2C46"/>
    <w:rsid w:val="001E2C99"/>
    <w:rsid w:val="001F4882"/>
    <w:rsid w:val="00205A97"/>
    <w:rsid w:val="00206147"/>
    <w:rsid w:val="0020713A"/>
    <w:rsid w:val="002073B7"/>
    <w:rsid w:val="00212EEF"/>
    <w:rsid w:val="00214300"/>
    <w:rsid w:val="00237381"/>
    <w:rsid w:val="002457F8"/>
    <w:rsid w:val="002509DC"/>
    <w:rsid w:val="0025640C"/>
    <w:rsid w:val="002579CB"/>
    <w:rsid w:val="00274DFF"/>
    <w:rsid w:val="002767CE"/>
    <w:rsid w:val="002A5697"/>
    <w:rsid w:val="002A5D19"/>
    <w:rsid w:val="002B071E"/>
    <w:rsid w:val="002C0501"/>
    <w:rsid w:val="002C73D4"/>
    <w:rsid w:val="002E69EB"/>
    <w:rsid w:val="002F3589"/>
    <w:rsid w:val="002F51F8"/>
    <w:rsid w:val="00305DF9"/>
    <w:rsid w:val="00312B09"/>
    <w:rsid w:val="00315FEF"/>
    <w:rsid w:val="00320844"/>
    <w:rsid w:val="00326109"/>
    <w:rsid w:val="003319D8"/>
    <w:rsid w:val="00333838"/>
    <w:rsid w:val="00335F82"/>
    <w:rsid w:val="00347339"/>
    <w:rsid w:val="003643E8"/>
    <w:rsid w:val="00370CE0"/>
    <w:rsid w:val="00372A2F"/>
    <w:rsid w:val="0037751E"/>
    <w:rsid w:val="00392086"/>
    <w:rsid w:val="00396FB1"/>
    <w:rsid w:val="003B0B50"/>
    <w:rsid w:val="003B5CEF"/>
    <w:rsid w:val="003B78B4"/>
    <w:rsid w:val="003C2339"/>
    <w:rsid w:val="003D3610"/>
    <w:rsid w:val="003D56BE"/>
    <w:rsid w:val="003D5A51"/>
    <w:rsid w:val="003D5AE7"/>
    <w:rsid w:val="003E5AB8"/>
    <w:rsid w:val="003F3DE6"/>
    <w:rsid w:val="003F40BD"/>
    <w:rsid w:val="00406DDF"/>
    <w:rsid w:val="004270ED"/>
    <w:rsid w:val="00434D37"/>
    <w:rsid w:val="00440C0E"/>
    <w:rsid w:val="0044196E"/>
    <w:rsid w:val="00445FE2"/>
    <w:rsid w:val="004472CF"/>
    <w:rsid w:val="00447C59"/>
    <w:rsid w:val="0046118B"/>
    <w:rsid w:val="00463E0C"/>
    <w:rsid w:val="00464419"/>
    <w:rsid w:val="0046634A"/>
    <w:rsid w:val="0046661E"/>
    <w:rsid w:val="00470914"/>
    <w:rsid w:val="00473FB2"/>
    <w:rsid w:val="004906C0"/>
    <w:rsid w:val="0049595D"/>
    <w:rsid w:val="004A55BF"/>
    <w:rsid w:val="004A644B"/>
    <w:rsid w:val="004B048B"/>
    <w:rsid w:val="004B12CF"/>
    <w:rsid w:val="004D3211"/>
    <w:rsid w:val="004E2611"/>
    <w:rsid w:val="004F2EC3"/>
    <w:rsid w:val="004F2ECA"/>
    <w:rsid w:val="005036EC"/>
    <w:rsid w:val="00503BC2"/>
    <w:rsid w:val="00513733"/>
    <w:rsid w:val="005206A0"/>
    <w:rsid w:val="005246F5"/>
    <w:rsid w:val="005365D4"/>
    <w:rsid w:val="00541B95"/>
    <w:rsid w:val="00546F4F"/>
    <w:rsid w:val="00551588"/>
    <w:rsid w:val="00552CAE"/>
    <w:rsid w:val="005563AB"/>
    <w:rsid w:val="00556F74"/>
    <w:rsid w:val="00560467"/>
    <w:rsid w:val="00564550"/>
    <w:rsid w:val="00567812"/>
    <w:rsid w:val="005837C2"/>
    <w:rsid w:val="00584813"/>
    <w:rsid w:val="005902E5"/>
    <w:rsid w:val="0059501A"/>
    <w:rsid w:val="0059559A"/>
    <w:rsid w:val="005A091A"/>
    <w:rsid w:val="005A4096"/>
    <w:rsid w:val="005B2F2D"/>
    <w:rsid w:val="005C6A53"/>
    <w:rsid w:val="005C7C74"/>
    <w:rsid w:val="005E4FBD"/>
    <w:rsid w:val="005E5C93"/>
    <w:rsid w:val="005F48AA"/>
    <w:rsid w:val="005F77FA"/>
    <w:rsid w:val="00610DC7"/>
    <w:rsid w:val="00625995"/>
    <w:rsid w:val="00633840"/>
    <w:rsid w:val="00637856"/>
    <w:rsid w:val="00640C5B"/>
    <w:rsid w:val="0064589A"/>
    <w:rsid w:val="006464ED"/>
    <w:rsid w:val="0066242F"/>
    <w:rsid w:val="006776BA"/>
    <w:rsid w:val="006824F0"/>
    <w:rsid w:val="006877D1"/>
    <w:rsid w:val="006A4BF6"/>
    <w:rsid w:val="006A5FC2"/>
    <w:rsid w:val="006B3EF5"/>
    <w:rsid w:val="006B5D3D"/>
    <w:rsid w:val="006B6927"/>
    <w:rsid w:val="006B735E"/>
    <w:rsid w:val="006C594C"/>
    <w:rsid w:val="006D62A5"/>
    <w:rsid w:val="006E241D"/>
    <w:rsid w:val="006F33EE"/>
    <w:rsid w:val="006F4A28"/>
    <w:rsid w:val="006F55B4"/>
    <w:rsid w:val="006F55D6"/>
    <w:rsid w:val="00706DBE"/>
    <w:rsid w:val="00714AD0"/>
    <w:rsid w:val="007163CE"/>
    <w:rsid w:val="00721BC5"/>
    <w:rsid w:val="007437DF"/>
    <w:rsid w:val="007443B1"/>
    <w:rsid w:val="00744A68"/>
    <w:rsid w:val="007533F8"/>
    <w:rsid w:val="00754B98"/>
    <w:rsid w:val="00762326"/>
    <w:rsid w:val="00766F5C"/>
    <w:rsid w:val="00771A4F"/>
    <w:rsid w:val="00775F5C"/>
    <w:rsid w:val="007765B0"/>
    <w:rsid w:val="00783391"/>
    <w:rsid w:val="00786524"/>
    <w:rsid w:val="007936C8"/>
    <w:rsid w:val="007A02C0"/>
    <w:rsid w:val="007C39D1"/>
    <w:rsid w:val="007C516E"/>
    <w:rsid w:val="007D2600"/>
    <w:rsid w:val="007D3926"/>
    <w:rsid w:val="007F07DA"/>
    <w:rsid w:val="007F58C9"/>
    <w:rsid w:val="008008A2"/>
    <w:rsid w:val="00804B6A"/>
    <w:rsid w:val="00806AF5"/>
    <w:rsid w:val="00806C0A"/>
    <w:rsid w:val="00811746"/>
    <w:rsid w:val="008165C0"/>
    <w:rsid w:val="00825859"/>
    <w:rsid w:val="008304F7"/>
    <w:rsid w:val="00837FA7"/>
    <w:rsid w:val="00843381"/>
    <w:rsid w:val="0084632B"/>
    <w:rsid w:val="0085272C"/>
    <w:rsid w:val="00860E10"/>
    <w:rsid w:val="00882806"/>
    <w:rsid w:val="00884D16"/>
    <w:rsid w:val="00885CB3"/>
    <w:rsid w:val="00890793"/>
    <w:rsid w:val="00890DE8"/>
    <w:rsid w:val="00891ADA"/>
    <w:rsid w:val="008968CB"/>
    <w:rsid w:val="008B48DF"/>
    <w:rsid w:val="008C3DD1"/>
    <w:rsid w:val="008D7501"/>
    <w:rsid w:val="00914E03"/>
    <w:rsid w:val="00924C2B"/>
    <w:rsid w:val="00930402"/>
    <w:rsid w:val="00930B64"/>
    <w:rsid w:val="00933CFF"/>
    <w:rsid w:val="00942A8E"/>
    <w:rsid w:val="009432BD"/>
    <w:rsid w:val="00951870"/>
    <w:rsid w:val="009657DF"/>
    <w:rsid w:val="00971298"/>
    <w:rsid w:val="00971E1C"/>
    <w:rsid w:val="00973DD8"/>
    <w:rsid w:val="00980147"/>
    <w:rsid w:val="009A0C41"/>
    <w:rsid w:val="009A1EA7"/>
    <w:rsid w:val="009A5D83"/>
    <w:rsid w:val="009C6E67"/>
    <w:rsid w:val="009D6C64"/>
    <w:rsid w:val="009D7089"/>
    <w:rsid w:val="009D7845"/>
    <w:rsid w:val="009E0310"/>
    <w:rsid w:val="009E2902"/>
    <w:rsid w:val="009F293F"/>
    <w:rsid w:val="009F5E21"/>
    <w:rsid w:val="00A07418"/>
    <w:rsid w:val="00A41138"/>
    <w:rsid w:val="00A44E2A"/>
    <w:rsid w:val="00A51602"/>
    <w:rsid w:val="00A74290"/>
    <w:rsid w:val="00A919DF"/>
    <w:rsid w:val="00A95181"/>
    <w:rsid w:val="00AA2F47"/>
    <w:rsid w:val="00AA3B05"/>
    <w:rsid w:val="00AB0A9F"/>
    <w:rsid w:val="00AB2FD7"/>
    <w:rsid w:val="00AC1CB2"/>
    <w:rsid w:val="00AC3822"/>
    <w:rsid w:val="00AC4277"/>
    <w:rsid w:val="00AC6B95"/>
    <w:rsid w:val="00AD3E28"/>
    <w:rsid w:val="00AD7359"/>
    <w:rsid w:val="00AE4C95"/>
    <w:rsid w:val="00AF0A35"/>
    <w:rsid w:val="00AF4F8F"/>
    <w:rsid w:val="00AF6343"/>
    <w:rsid w:val="00AF7759"/>
    <w:rsid w:val="00B04D11"/>
    <w:rsid w:val="00B1446F"/>
    <w:rsid w:val="00B17B09"/>
    <w:rsid w:val="00B241DD"/>
    <w:rsid w:val="00B32CF9"/>
    <w:rsid w:val="00B34D16"/>
    <w:rsid w:val="00B37CD7"/>
    <w:rsid w:val="00B37E87"/>
    <w:rsid w:val="00B43545"/>
    <w:rsid w:val="00B71094"/>
    <w:rsid w:val="00B74116"/>
    <w:rsid w:val="00B75F08"/>
    <w:rsid w:val="00B81175"/>
    <w:rsid w:val="00B833D8"/>
    <w:rsid w:val="00BB2B0D"/>
    <w:rsid w:val="00BC0F84"/>
    <w:rsid w:val="00BC7B90"/>
    <w:rsid w:val="00BF4DA1"/>
    <w:rsid w:val="00C10228"/>
    <w:rsid w:val="00C125E9"/>
    <w:rsid w:val="00C2109C"/>
    <w:rsid w:val="00C236DF"/>
    <w:rsid w:val="00C25CBF"/>
    <w:rsid w:val="00C31D88"/>
    <w:rsid w:val="00C37214"/>
    <w:rsid w:val="00C479E2"/>
    <w:rsid w:val="00C5292C"/>
    <w:rsid w:val="00C566D0"/>
    <w:rsid w:val="00C674A0"/>
    <w:rsid w:val="00C843E9"/>
    <w:rsid w:val="00C85E38"/>
    <w:rsid w:val="00C936C5"/>
    <w:rsid w:val="00C97FB5"/>
    <w:rsid w:val="00CA0046"/>
    <w:rsid w:val="00CB391F"/>
    <w:rsid w:val="00CB6367"/>
    <w:rsid w:val="00CC6CFB"/>
    <w:rsid w:val="00CF2F0C"/>
    <w:rsid w:val="00CF7756"/>
    <w:rsid w:val="00D108E0"/>
    <w:rsid w:val="00D11FF7"/>
    <w:rsid w:val="00D33666"/>
    <w:rsid w:val="00D43E7C"/>
    <w:rsid w:val="00D45183"/>
    <w:rsid w:val="00D46EEF"/>
    <w:rsid w:val="00D53533"/>
    <w:rsid w:val="00D707EA"/>
    <w:rsid w:val="00D745FB"/>
    <w:rsid w:val="00D75544"/>
    <w:rsid w:val="00D82690"/>
    <w:rsid w:val="00D82DE5"/>
    <w:rsid w:val="00D902CD"/>
    <w:rsid w:val="00D967E1"/>
    <w:rsid w:val="00DA3AB4"/>
    <w:rsid w:val="00DA5703"/>
    <w:rsid w:val="00DB0F63"/>
    <w:rsid w:val="00DD3BCC"/>
    <w:rsid w:val="00DE1AB4"/>
    <w:rsid w:val="00DF178F"/>
    <w:rsid w:val="00DF6CC5"/>
    <w:rsid w:val="00DF78B6"/>
    <w:rsid w:val="00E0114D"/>
    <w:rsid w:val="00E017A4"/>
    <w:rsid w:val="00E278A0"/>
    <w:rsid w:val="00E36589"/>
    <w:rsid w:val="00E417E6"/>
    <w:rsid w:val="00E51AFC"/>
    <w:rsid w:val="00E51E9C"/>
    <w:rsid w:val="00E54C39"/>
    <w:rsid w:val="00E62314"/>
    <w:rsid w:val="00E63725"/>
    <w:rsid w:val="00E736F0"/>
    <w:rsid w:val="00E76F29"/>
    <w:rsid w:val="00E845EB"/>
    <w:rsid w:val="00E85C19"/>
    <w:rsid w:val="00E875D3"/>
    <w:rsid w:val="00E91FF7"/>
    <w:rsid w:val="00E94ECA"/>
    <w:rsid w:val="00EA4AAB"/>
    <w:rsid w:val="00EA5C3D"/>
    <w:rsid w:val="00EA6C7A"/>
    <w:rsid w:val="00EB3496"/>
    <w:rsid w:val="00EB6300"/>
    <w:rsid w:val="00EC21C2"/>
    <w:rsid w:val="00EC2732"/>
    <w:rsid w:val="00EC4E51"/>
    <w:rsid w:val="00ED53FC"/>
    <w:rsid w:val="00EE4C98"/>
    <w:rsid w:val="00EE6A9E"/>
    <w:rsid w:val="00EF0158"/>
    <w:rsid w:val="00EF2FA4"/>
    <w:rsid w:val="00EF53A3"/>
    <w:rsid w:val="00EF7ACD"/>
    <w:rsid w:val="00F034F7"/>
    <w:rsid w:val="00F04572"/>
    <w:rsid w:val="00F05A03"/>
    <w:rsid w:val="00F16E1A"/>
    <w:rsid w:val="00F36B17"/>
    <w:rsid w:val="00F36B43"/>
    <w:rsid w:val="00F37724"/>
    <w:rsid w:val="00F46400"/>
    <w:rsid w:val="00F4695F"/>
    <w:rsid w:val="00F51C5E"/>
    <w:rsid w:val="00F55EEA"/>
    <w:rsid w:val="00F86C78"/>
    <w:rsid w:val="00F92D0D"/>
    <w:rsid w:val="00F93564"/>
    <w:rsid w:val="00F94808"/>
    <w:rsid w:val="00FB58E8"/>
    <w:rsid w:val="00FB608C"/>
    <w:rsid w:val="00FB6226"/>
    <w:rsid w:val="00FE4932"/>
    <w:rsid w:val="00FE739D"/>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38"/>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B48DF"/>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8B48DF"/>
  </w:style>
  <w:style w:type="paragraph" w:styleId="Rodap">
    <w:name w:val="footer"/>
    <w:basedOn w:val="Normal"/>
    <w:link w:val="RodapChar"/>
    <w:unhideWhenUsed/>
    <w:rsid w:val="008B48DF"/>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8B48DF"/>
  </w:style>
  <w:style w:type="paragraph" w:styleId="Textodebalo">
    <w:name w:val="Balloon Text"/>
    <w:basedOn w:val="Normal"/>
    <w:link w:val="TextodebaloChar"/>
    <w:uiPriority w:val="99"/>
    <w:semiHidden/>
    <w:unhideWhenUsed/>
    <w:rsid w:val="008B48DF"/>
    <w:pPr>
      <w:suppressAutoHyphens w:val="0"/>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8B48DF"/>
    <w:rPr>
      <w:rFonts w:ascii="Tahoma" w:hAnsi="Tahoma" w:cs="Tahoma"/>
      <w:sz w:val="16"/>
      <w:szCs w:val="16"/>
    </w:rPr>
  </w:style>
  <w:style w:type="table" w:styleId="Tabelacomgrade">
    <w:name w:val="Table Grid"/>
    <w:basedOn w:val="Tabelanormal"/>
    <w:rsid w:val="009657DF"/>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6E241D"/>
    <w:rPr>
      <w:color w:val="0000FF" w:themeColor="hyperlink"/>
      <w:u w:val="single"/>
    </w:rPr>
  </w:style>
  <w:style w:type="paragraph" w:styleId="Reviso">
    <w:name w:val="Revision"/>
    <w:hidden/>
    <w:uiPriority w:val="99"/>
    <w:semiHidden/>
    <w:rsid w:val="00DF78B6"/>
    <w:pPr>
      <w:spacing w:after="0" w:line="240" w:lineRule="auto"/>
    </w:pPr>
    <w:rPr>
      <w:rFonts w:ascii="Times New Roman" w:eastAsia="Times New Roman" w:hAnsi="Times New Roman" w:cs="Times New Roman"/>
      <w:sz w:val="24"/>
      <w:szCs w:val="24"/>
      <w:lang w:eastAsia="ar-SA"/>
    </w:rPr>
  </w:style>
  <w:style w:type="character" w:styleId="Refdecomentrio">
    <w:name w:val="annotation reference"/>
    <w:basedOn w:val="Fontepargpadro"/>
    <w:semiHidden/>
    <w:unhideWhenUsed/>
    <w:rsid w:val="00447C59"/>
    <w:rPr>
      <w:sz w:val="16"/>
      <w:szCs w:val="16"/>
    </w:rPr>
  </w:style>
  <w:style w:type="paragraph" w:styleId="Textodecomentrio">
    <w:name w:val="annotation text"/>
    <w:basedOn w:val="Normal"/>
    <w:link w:val="TextodecomentrioChar"/>
    <w:semiHidden/>
    <w:unhideWhenUsed/>
    <w:rsid w:val="00447C59"/>
    <w:pPr>
      <w:suppressAutoHyphens w:val="0"/>
    </w:pPr>
    <w:rPr>
      <w:sz w:val="20"/>
      <w:szCs w:val="20"/>
      <w:lang w:eastAsia="pt-BR"/>
    </w:rPr>
  </w:style>
  <w:style w:type="character" w:customStyle="1" w:styleId="TextodecomentrioChar">
    <w:name w:val="Texto de comentário Char"/>
    <w:basedOn w:val="Fontepargpadro"/>
    <w:link w:val="Textodecomentrio"/>
    <w:semiHidden/>
    <w:rsid w:val="00447C59"/>
    <w:rPr>
      <w:rFonts w:ascii="Times New Roman" w:eastAsia="Times New Roman" w:hAnsi="Times New Roman" w:cs="Times New Roman"/>
      <w:sz w:val="20"/>
      <w:szCs w:val="20"/>
      <w:lang w:eastAsia="pt-BR"/>
    </w:rPr>
  </w:style>
  <w:style w:type="paragraph" w:styleId="SemEspaamento">
    <w:name w:val="No Spacing"/>
    <w:uiPriority w:val="1"/>
    <w:qFormat/>
    <w:rsid w:val="007A02C0"/>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38"/>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8B48DF"/>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8B48DF"/>
  </w:style>
  <w:style w:type="paragraph" w:styleId="Rodap">
    <w:name w:val="footer"/>
    <w:basedOn w:val="Normal"/>
    <w:link w:val="RodapChar"/>
    <w:unhideWhenUsed/>
    <w:rsid w:val="008B48DF"/>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8B48DF"/>
  </w:style>
  <w:style w:type="paragraph" w:styleId="Textodebalo">
    <w:name w:val="Balloon Text"/>
    <w:basedOn w:val="Normal"/>
    <w:link w:val="TextodebaloChar"/>
    <w:uiPriority w:val="99"/>
    <w:semiHidden/>
    <w:unhideWhenUsed/>
    <w:rsid w:val="008B48DF"/>
    <w:pPr>
      <w:suppressAutoHyphens w:val="0"/>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8B48DF"/>
    <w:rPr>
      <w:rFonts w:ascii="Tahoma" w:hAnsi="Tahoma" w:cs="Tahoma"/>
      <w:sz w:val="16"/>
      <w:szCs w:val="16"/>
    </w:rPr>
  </w:style>
  <w:style w:type="table" w:styleId="Tabelacomgrade">
    <w:name w:val="Table Grid"/>
    <w:basedOn w:val="Tabelanormal"/>
    <w:rsid w:val="009657D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E241D"/>
    <w:rPr>
      <w:color w:val="0000FF" w:themeColor="hyperlink"/>
      <w:u w:val="single"/>
    </w:rPr>
  </w:style>
  <w:style w:type="paragraph" w:styleId="Reviso">
    <w:name w:val="Revision"/>
    <w:hidden/>
    <w:uiPriority w:val="99"/>
    <w:semiHidden/>
    <w:rsid w:val="00DF78B6"/>
    <w:pPr>
      <w:spacing w:after="0" w:line="240" w:lineRule="auto"/>
    </w:pPr>
    <w:rPr>
      <w:rFonts w:ascii="Times New Roman" w:eastAsia="Times New Roman" w:hAnsi="Times New Roman" w:cs="Times New Roman"/>
      <w:sz w:val="24"/>
      <w:szCs w:val="24"/>
      <w:lang w:eastAsia="ar-SA"/>
    </w:rPr>
  </w:style>
  <w:style w:type="character" w:styleId="Refdecomentrio">
    <w:name w:val="annotation reference"/>
    <w:basedOn w:val="Fontepargpadro"/>
    <w:semiHidden/>
    <w:unhideWhenUsed/>
    <w:rsid w:val="00447C59"/>
    <w:rPr>
      <w:sz w:val="16"/>
      <w:szCs w:val="16"/>
    </w:rPr>
  </w:style>
  <w:style w:type="paragraph" w:styleId="Textodecomentrio">
    <w:name w:val="annotation text"/>
    <w:basedOn w:val="Normal"/>
    <w:link w:val="TextodecomentrioChar"/>
    <w:semiHidden/>
    <w:unhideWhenUsed/>
    <w:rsid w:val="00447C59"/>
    <w:pPr>
      <w:suppressAutoHyphens w:val="0"/>
    </w:pPr>
    <w:rPr>
      <w:sz w:val="20"/>
      <w:szCs w:val="20"/>
      <w:lang w:eastAsia="pt-BR"/>
    </w:rPr>
  </w:style>
  <w:style w:type="character" w:customStyle="1" w:styleId="TextodecomentrioChar">
    <w:name w:val="Texto de comentário Char"/>
    <w:basedOn w:val="Fontepargpadro"/>
    <w:link w:val="Textodecomentrio"/>
    <w:semiHidden/>
    <w:rsid w:val="00447C59"/>
    <w:rPr>
      <w:rFonts w:ascii="Times New Roman" w:eastAsia="Times New Roman" w:hAnsi="Times New Roman" w:cs="Times New Roman"/>
      <w:sz w:val="20"/>
      <w:szCs w:val="20"/>
      <w:lang w:eastAsia="pt-BR"/>
    </w:rPr>
  </w:style>
  <w:style w:type="paragraph" w:styleId="SemEspaamento">
    <w:name w:val="No Spacing"/>
    <w:uiPriority w:val="1"/>
    <w:qFormat/>
    <w:rsid w:val="007A02C0"/>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5887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unemat.br" TargetMode="External"/><Relationship Id="rId2" Type="http://schemas.openxmlformats.org/officeDocument/2006/relationships/oleObject" Target="embeddings/oleObject1.bin"/><Relationship Id="rId1" Type="http://schemas.openxmlformats.org/officeDocument/2006/relationships/image" Target="media/image3.wmf"/><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907</Words>
  <Characters>4899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.Rosangela Lazarin</dc:creator>
  <cp:lastModifiedBy>ASSOC</cp:lastModifiedBy>
  <cp:revision>8</cp:revision>
  <cp:lastPrinted>2016-08-01T20:21:00Z</cp:lastPrinted>
  <dcterms:created xsi:type="dcterms:W3CDTF">2016-08-01T20:18:00Z</dcterms:created>
  <dcterms:modified xsi:type="dcterms:W3CDTF">2016-08-12T20:34:00Z</dcterms:modified>
</cp:coreProperties>
</file>