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9C" w:rsidRPr="00CD159C" w:rsidRDefault="00CD159C" w:rsidP="00CD159C">
      <w:pPr>
        <w:spacing w:before="247" w:after="0" w:line="240" w:lineRule="auto"/>
        <w:ind w:left="145" w:right="14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D1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RESOLUÇÃO Nº 0XX/2021 – CONSUNI</w:t>
      </w:r>
    </w:p>
    <w:p w:rsidR="00CD159C" w:rsidRPr="00CD159C" w:rsidRDefault="00CD159C" w:rsidP="00CD15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59C" w:rsidRPr="00CD159C" w:rsidRDefault="00CD159C" w:rsidP="00CD159C">
      <w:pPr>
        <w:spacing w:before="1" w:after="0" w:line="240" w:lineRule="auto"/>
        <w:ind w:left="5216" w:right="11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1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Aprova os critérios e mecanismos de repasses orçamentários, financeiros e plano de trabalho anual (PTA) para os Câmpus da Universidade do Estado de Mato Grosso.</w:t>
      </w:r>
    </w:p>
    <w:p w:rsidR="00CD159C" w:rsidRPr="00CD159C" w:rsidRDefault="00CD159C" w:rsidP="00CD15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sz w:val="24"/>
          <w:szCs w:val="24"/>
          <w:lang w:eastAsia="pt-BR"/>
        </w:rPr>
        <w:t>O Presidente do Conselho Universitário – CONSUNI, da Universidade do Estado de Mato Grosso – UNEMAT, no uso de suas atribuições legais, que lhe conferem o art. 17 do Estatuto da UNEMAT, e considerando Resolução nº 087/2015-CONSUNI e a decisão do Conselho t</w:t>
      </w:r>
      <w:r w:rsidR="00904589">
        <w:rPr>
          <w:rFonts w:ascii="Arial" w:hAnsi="Arial" w:cs="Arial"/>
          <w:sz w:val="24"/>
          <w:szCs w:val="24"/>
          <w:lang w:eastAsia="pt-BR"/>
        </w:rPr>
        <w:t>omada na 2</w:t>
      </w:r>
      <w:r w:rsidRPr="00CD159C">
        <w:rPr>
          <w:rFonts w:ascii="Arial" w:hAnsi="Arial" w:cs="Arial"/>
          <w:sz w:val="24"/>
          <w:szCs w:val="24"/>
          <w:lang w:eastAsia="pt-BR"/>
        </w:rPr>
        <w:t xml:space="preserve">ª Sessão Ordinária realizada nos dias </w:t>
      </w:r>
      <w:r w:rsidRPr="00CD159C">
        <w:rPr>
          <w:rFonts w:ascii="Arial" w:hAnsi="Arial" w:cs="Arial"/>
          <w:color w:val="FF0000"/>
          <w:sz w:val="24"/>
          <w:szCs w:val="24"/>
          <w:lang w:eastAsia="pt-BR"/>
        </w:rPr>
        <w:t>XX e XX</w:t>
      </w:r>
      <w:r w:rsidRPr="00CD159C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904589">
        <w:rPr>
          <w:rFonts w:ascii="Arial" w:hAnsi="Arial" w:cs="Arial"/>
          <w:sz w:val="24"/>
          <w:szCs w:val="24"/>
          <w:lang w:eastAsia="pt-BR"/>
        </w:rPr>
        <w:t>junho</w:t>
      </w:r>
      <w:r w:rsidRPr="00CD159C">
        <w:rPr>
          <w:rFonts w:ascii="Arial" w:hAnsi="Arial" w:cs="Arial"/>
          <w:sz w:val="24"/>
          <w:szCs w:val="24"/>
          <w:lang w:eastAsia="pt-BR"/>
        </w:rPr>
        <w:t xml:space="preserve"> de 2021,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sz w:val="24"/>
          <w:szCs w:val="24"/>
          <w:lang w:eastAsia="pt-BR"/>
        </w:rPr>
        <w:t>RESOLVE: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CD159C" w:rsidP="00CD159C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Art. 1º </w:t>
      </w:r>
      <w:r w:rsidRPr="00CD159C">
        <w:rPr>
          <w:rFonts w:ascii="Arial" w:hAnsi="Arial" w:cs="Arial"/>
          <w:sz w:val="24"/>
          <w:szCs w:val="24"/>
          <w:lang w:eastAsia="pt-BR"/>
        </w:rPr>
        <w:t>Aprovar os critérios e mecanismos de repasses orçamentários, financeiros e para a elaboração do Plano de Trabalho Anual (PTA) dos Câmpus da Universidade do Estado de Mato Grosso.</w:t>
      </w:r>
    </w:p>
    <w:p w:rsidR="00CD159C" w:rsidRPr="00CD159C" w:rsidRDefault="00CD159C" w:rsidP="00CD159C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Parágrafo Único </w:t>
      </w:r>
      <w:r w:rsidRPr="00CD159C">
        <w:rPr>
          <w:rFonts w:ascii="Arial" w:hAnsi="Arial" w:cs="Arial"/>
          <w:sz w:val="24"/>
          <w:szCs w:val="24"/>
          <w:lang w:eastAsia="pt-BR"/>
        </w:rPr>
        <w:t xml:space="preserve">Esta resolução tem como finalidade estabelecer critérios de distribuição de recursos que respaldam o repasse orçamentário aos </w:t>
      </w:r>
      <w:proofErr w:type="spellStart"/>
      <w:r w:rsidRPr="00CD159C">
        <w:rPr>
          <w:rFonts w:ascii="Arial" w:hAnsi="Arial" w:cs="Arial"/>
          <w:sz w:val="24"/>
          <w:szCs w:val="24"/>
          <w:lang w:eastAsia="pt-BR"/>
        </w:rPr>
        <w:t>câmpus</w:t>
      </w:r>
      <w:proofErr w:type="spellEnd"/>
      <w:r w:rsidRPr="00CD159C">
        <w:rPr>
          <w:rFonts w:ascii="Arial" w:hAnsi="Arial" w:cs="Arial"/>
          <w:sz w:val="24"/>
          <w:szCs w:val="24"/>
          <w:lang w:eastAsia="pt-BR"/>
        </w:rPr>
        <w:t xml:space="preserve"> universitários a fim de melhorar as etapas de planejamento e execução orçamentária- financeira, bem como os critérios para elaboração do PTA dos </w:t>
      </w:r>
      <w:proofErr w:type="spellStart"/>
      <w:r w:rsidRPr="00CD159C">
        <w:rPr>
          <w:rFonts w:ascii="Arial" w:hAnsi="Arial" w:cs="Arial"/>
          <w:sz w:val="24"/>
          <w:szCs w:val="24"/>
          <w:lang w:eastAsia="pt-BR"/>
        </w:rPr>
        <w:t>câmpus</w:t>
      </w:r>
      <w:proofErr w:type="spellEnd"/>
      <w:r w:rsidRPr="00CD159C">
        <w:rPr>
          <w:rFonts w:ascii="Arial" w:hAnsi="Arial" w:cs="Arial"/>
          <w:sz w:val="24"/>
          <w:szCs w:val="24"/>
          <w:lang w:eastAsia="pt-BR"/>
        </w:rPr>
        <w:t>.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CD159C" w:rsidP="00CD159C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Art. 2° </w:t>
      </w:r>
      <w:r w:rsidRPr="00CD159C">
        <w:rPr>
          <w:rFonts w:ascii="Arial" w:hAnsi="Arial" w:cs="Arial"/>
          <w:sz w:val="24"/>
          <w:szCs w:val="24"/>
          <w:lang w:eastAsia="pt-BR"/>
        </w:rPr>
        <w:t xml:space="preserve">Fica estabelecido que os critérios de repasse aos </w:t>
      </w:r>
      <w:proofErr w:type="spellStart"/>
      <w:r w:rsidRPr="00CD159C">
        <w:rPr>
          <w:rFonts w:ascii="Arial" w:hAnsi="Arial" w:cs="Arial"/>
          <w:sz w:val="24"/>
          <w:szCs w:val="24"/>
          <w:lang w:eastAsia="pt-BR"/>
        </w:rPr>
        <w:t>câmpus</w:t>
      </w:r>
      <w:proofErr w:type="spellEnd"/>
      <w:r w:rsidRPr="00CD159C">
        <w:rPr>
          <w:rFonts w:ascii="Arial" w:hAnsi="Arial" w:cs="Arial"/>
          <w:sz w:val="24"/>
          <w:szCs w:val="24"/>
          <w:lang w:eastAsia="pt-BR"/>
        </w:rPr>
        <w:t xml:space="preserve"> têm como prerrogativa a </w:t>
      </w:r>
      <w:proofErr w:type="spellStart"/>
      <w:r w:rsidRPr="00CD159C">
        <w:rPr>
          <w:rFonts w:ascii="Arial" w:hAnsi="Arial" w:cs="Arial"/>
          <w:sz w:val="24"/>
          <w:szCs w:val="24"/>
          <w:lang w:eastAsia="pt-BR"/>
        </w:rPr>
        <w:t>indissociabilidade</w:t>
      </w:r>
      <w:proofErr w:type="spellEnd"/>
      <w:r w:rsidRPr="00CD159C">
        <w:rPr>
          <w:rFonts w:ascii="Arial" w:hAnsi="Arial" w:cs="Arial"/>
          <w:sz w:val="24"/>
          <w:szCs w:val="24"/>
          <w:lang w:eastAsia="pt-BR"/>
        </w:rPr>
        <w:t xml:space="preserve"> do Ensino, Pesquisa e a Extensão no contexto da Universidade.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CD159C" w:rsidP="00CD159C">
      <w:pPr>
        <w:pStyle w:val="SemEspaamento"/>
        <w:jc w:val="center"/>
        <w:rPr>
          <w:rFonts w:ascii="Arial" w:hAnsi="Arial" w:cs="Arial"/>
          <w:b/>
          <w:bCs/>
          <w:kern w:val="36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kern w:val="36"/>
          <w:sz w:val="24"/>
          <w:szCs w:val="24"/>
          <w:lang w:eastAsia="pt-BR"/>
        </w:rPr>
        <w:t>CAPÍTULO I</w:t>
      </w:r>
    </w:p>
    <w:p w:rsidR="00CD159C" w:rsidRPr="00CD159C" w:rsidRDefault="00CD159C" w:rsidP="00CD159C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>DAS DIMENSÕES AVALIADAS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CD159C" w:rsidP="00CD159C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Art. 3° </w:t>
      </w:r>
      <w:r w:rsidRPr="00CD159C">
        <w:rPr>
          <w:rFonts w:ascii="Arial" w:hAnsi="Arial" w:cs="Arial"/>
          <w:sz w:val="24"/>
          <w:szCs w:val="24"/>
          <w:lang w:eastAsia="pt-BR"/>
        </w:rPr>
        <w:t xml:space="preserve">Entende-se por dimensões, as atividades que geram gastos envolvendo o Ensino, a Pesquisa, a Extensão e a manutenção administrativa/pedagógica dos </w:t>
      </w:r>
      <w:proofErr w:type="spellStart"/>
      <w:r w:rsidRPr="00CD159C">
        <w:rPr>
          <w:rFonts w:ascii="Arial" w:hAnsi="Arial" w:cs="Arial"/>
          <w:sz w:val="24"/>
          <w:szCs w:val="24"/>
          <w:lang w:eastAsia="pt-BR"/>
        </w:rPr>
        <w:t>câmpus</w:t>
      </w:r>
      <w:proofErr w:type="spellEnd"/>
      <w:r w:rsidRPr="00CD159C">
        <w:rPr>
          <w:rFonts w:ascii="Arial" w:hAnsi="Arial" w:cs="Arial"/>
          <w:sz w:val="24"/>
          <w:szCs w:val="24"/>
          <w:lang w:eastAsia="pt-BR"/>
        </w:rPr>
        <w:t>.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CD159C" w:rsidP="00CD159C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Art. 4° </w:t>
      </w:r>
      <w:r w:rsidRPr="00CD159C">
        <w:rPr>
          <w:rFonts w:ascii="Arial" w:hAnsi="Arial" w:cs="Arial"/>
          <w:sz w:val="24"/>
          <w:szCs w:val="24"/>
          <w:lang w:eastAsia="pt-BR"/>
        </w:rPr>
        <w:t xml:space="preserve">O Índice de Repasse por </w:t>
      </w:r>
      <w:proofErr w:type="spellStart"/>
      <w:r w:rsidRPr="00CD159C">
        <w:rPr>
          <w:rFonts w:ascii="Arial" w:hAnsi="Arial" w:cs="Arial"/>
          <w:sz w:val="24"/>
          <w:szCs w:val="24"/>
          <w:lang w:eastAsia="pt-BR"/>
        </w:rPr>
        <w:t>câmpus</w:t>
      </w:r>
      <w:proofErr w:type="spellEnd"/>
      <w:r w:rsidRPr="00CD159C">
        <w:rPr>
          <w:rFonts w:ascii="Arial" w:hAnsi="Arial" w:cs="Arial"/>
          <w:sz w:val="24"/>
          <w:szCs w:val="24"/>
          <w:lang w:eastAsia="pt-BR"/>
        </w:rPr>
        <w:t xml:space="preserve"> será gerado levando-se em consideração as dimensões avaliadas no art. 3º, sendo atribuído para cada dimensão um determinado peso.</w:t>
      </w:r>
    </w:p>
    <w:p w:rsidR="00CD159C" w:rsidRPr="00CD159C" w:rsidRDefault="00CD159C" w:rsidP="00CD159C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sz w:val="24"/>
          <w:szCs w:val="24"/>
          <w:lang w:eastAsia="pt-BR"/>
        </w:rPr>
        <w:t>A dimensão Ensino (EN) será avaliada por meio do número de alunos</w:t>
      </w:r>
      <w:r w:rsidRPr="00CD159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ativos</w:t>
      </w:r>
      <w:r w:rsidRPr="00CD159C">
        <w:rPr>
          <w:rFonts w:ascii="Arial" w:hAnsi="Arial" w:cs="Arial"/>
          <w:sz w:val="24"/>
          <w:szCs w:val="24"/>
          <w:lang w:eastAsia="pt-BR"/>
        </w:rPr>
        <w:t xml:space="preserve"> e cursos de oferta</w:t>
      </w:r>
      <w:r w:rsidRPr="00CD159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contínua</w:t>
      </w:r>
      <w:r w:rsidRPr="00CD159C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  <w:r w:rsidRPr="00CD159C">
        <w:rPr>
          <w:rFonts w:ascii="Arial" w:hAnsi="Arial" w:cs="Arial"/>
          <w:sz w:val="24"/>
          <w:szCs w:val="24"/>
          <w:lang w:eastAsia="pt-BR"/>
        </w:rPr>
        <w:t xml:space="preserve">por </w:t>
      </w:r>
      <w:proofErr w:type="spellStart"/>
      <w:r w:rsidRPr="00CD159C">
        <w:rPr>
          <w:rFonts w:ascii="Arial" w:hAnsi="Arial" w:cs="Arial"/>
          <w:sz w:val="24"/>
          <w:szCs w:val="24"/>
          <w:lang w:eastAsia="pt-BR"/>
        </w:rPr>
        <w:t>câmpus</w:t>
      </w:r>
      <w:proofErr w:type="spellEnd"/>
      <w:r w:rsidRPr="00CD159C">
        <w:rPr>
          <w:rFonts w:ascii="Arial" w:hAnsi="Arial" w:cs="Arial"/>
          <w:sz w:val="24"/>
          <w:szCs w:val="24"/>
          <w:lang w:eastAsia="pt-BR"/>
        </w:rPr>
        <w:t xml:space="preserve"> em relação </w:t>
      </w:r>
      <w:r w:rsidRPr="00CD159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ao total </w:t>
      </w:r>
      <w:r w:rsidRPr="00CD159C">
        <w:rPr>
          <w:rFonts w:ascii="Arial" w:hAnsi="Arial" w:cs="Arial"/>
          <w:sz w:val="24"/>
          <w:szCs w:val="24"/>
          <w:lang w:eastAsia="pt-BR"/>
        </w:rPr>
        <w:t>da Instituição, levando-se em consideração somente os critérios de oferta contínua. </w:t>
      </w:r>
    </w:p>
    <w:p w:rsidR="00CD159C" w:rsidRDefault="00CD159C" w:rsidP="00CD159C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sz w:val="24"/>
          <w:szCs w:val="24"/>
          <w:lang w:eastAsia="pt-BR"/>
        </w:rPr>
        <w:t xml:space="preserve">A dimensão Pesquisa (P) será avaliada por meio do número de projetos de pesquisa </w:t>
      </w:r>
      <w:r w:rsidRPr="00CD159C">
        <w:rPr>
          <w:rFonts w:ascii="Arial" w:hAnsi="Arial" w:cs="Arial"/>
          <w:sz w:val="24"/>
          <w:szCs w:val="24"/>
          <w:shd w:val="clear" w:color="auto" w:fill="FFFFFF"/>
          <w:lang w:eastAsia="pt-BR"/>
        </w:rPr>
        <w:t>institucionalizados</w:t>
      </w:r>
      <w:r w:rsidRPr="00CD159C">
        <w:rPr>
          <w:rFonts w:ascii="Arial" w:hAnsi="Arial" w:cs="Arial"/>
          <w:sz w:val="24"/>
          <w:szCs w:val="24"/>
          <w:lang w:eastAsia="pt-BR"/>
        </w:rPr>
        <w:t>, núcleos, centros</w:t>
      </w:r>
      <w:r w:rsidR="00025041">
        <w:rPr>
          <w:rFonts w:ascii="Arial" w:hAnsi="Arial" w:cs="Arial"/>
          <w:sz w:val="24"/>
          <w:szCs w:val="24"/>
          <w:lang w:eastAsia="pt-BR"/>
        </w:rPr>
        <w:t xml:space="preserve">, museus, coleções científicas </w:t>
      </w:r>
      <w:r w:rsidRPr="00CD159C">
        <w:rPr>
          <w:rFonts w:ascii="Arial" w:hAnsi="Arial" w:cs="Arial"/>
          <w:sz w:val="24"/>
          <w:szCs w:val="24"/>
          <w:lang w:eastAsia="pt-BR"/>
        </w:rPr>
        <w:t xml:space="preserve">e acordos de cooperação ponderado pelo número total destas mesmas categorias associadas à pesquisa da Instituição. </w:t>
      </w:r>
      <w:r w:rsidRPr="00CD159C">
        <w:rPr>
          <w:rFonts w:ascii="Arial" w:hAnsi="Arial" w:cs="Arial"/>
          <w:sz w:val="24"/>
          <w:szCs w:val="24"/>
          <w:lang w:eastAsia="pt-BR"/>
        </w:rPr>
        <w:lastRenderedPageBreak/>
        <w:t xml:space="preserve">Outro aspecto a ser considerado é o número de programas de pós-graduação do </w:t>
      </w:r>
      <w:proofErr w:type="spellStart"/>
      <w:r w:rsidRPr="00CD159C">
        <w:rPr>
          <w:rFonts w:ascii="Arial" w:hAnsi="Arial" w:cs="Arial"/>
          <w:sz w:val="24"/>
          <w:szCs w:val="24"/>
          <w:lang w:eastAsia="pt-BR"/>
        </w:rPr>
        <w:t>câmpus</w:t>
      </w:r>
      <w:proofErr w:type="spellEnd"/>
      <w:r w:rsidRPr="00CD159C">
        <w:rPr>
          <w:rFonts w:ascii="Arial" w:hAnsi="Arial" w:cs="Arial"/>
          <w:sz w:val="24"/>
          <w:szCs w:val="24"/>
          <w:lang w:eastAsia="pt-BR"/>
        </w:rPr>
        <w:t xml:space="preserve"> em relação ao número total de programas de pós-graduação da instituição.</w:t>
      </w:r>
    </w:p>
    <w:p w:rsidR="00CD159C" w:rsidRDefault="00CD159C" w:rsidP="00CD159C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sz w:val="24"/>
          <w:szCs w:val="24"/>
          <w:lang w:eastAsia="pt-BR"/>
        </w:rPr>
        <w:t xml:space="preserve">A dimensão Extensão (EX) será avaliada por meio do número das Ações de Extensão </w:t>
      </w:r>
      <w:r w:rsidRPr="00CD159C">
        <w:rPr>
          <w:rFonts w:ascii="Arial" w:hAnsi="Arial" w:cs="Arial"/>
          <w:sz w:val="24"/>
          <w:szCs w:val="24"/>
          <w:shd w:val="clear" w:color="auto" w:fill="FFFFFF"/>
          <w:lang w:eastAsia="pt-BR"/>
        </w:rPr>
        <w:t>institucionalizadas</w:t>
      </w:r>
      <w:r w:rsidRPr="00CD159C">
        <w:rPr>
          <w:rFonts w:ascii="Arial" w:hAnsi="Arial" w:cs="Arial"/>
          <w:sz w:val="24"/>
          <w:szCs w:val="24"/>
          <w:lang w:eastAsia="pt-BR"/>
        </w:rPr>
        <w:t xml:space="preserve">, sendo estes programas, centros, núcleos, projetos, eventos, cursos, empresas </w:t>
      </w:r>
      <w:proofErr w:type="spellStart"/>
      <w:r w:rsidRPr="00CD159C">
        <w:rPr>
          <w:rFonts w:ascii="Arial" w:hAnsi="Arial" w:cs="Arial"/>
          <w:sz w:val="24"/>
          <w:szCs w:val="24"/>
          <w:lang w:eastAsia="pt-BR"/>
        </w:rPr>
        <w:t>júniors</w:t>
      </w:r>
      <w:proofErr w:type="spellEnd"/>
      <w:r w:rsidRPr="00CD159C">
        <w:rPr>
          <w:rFonts w:ascii="Arial" w:hAnsi="Arial" w:cs="Arial"/>
          <w:sz w:val="24"/>
          <w:szCs w:val="24"/>
          <w:lang w:eastAsia="pt-BR"/>
        </w:rPr>
        <w:t xml:space="preserve"> e prestação de serviço, ponderados pelo número total destas ações.</w:t>
      </w:r>
    </w:p>
    <w:p w:rsidR="00CD159C" w:rsidRPr="00CD159C" w:rsidRDefault="00CD159C" w:rsidP="00CD159C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sz w:val="24"/>
          <w:szCs w:val="24"/>
          <w:lang w:eastAsia="pt-BR"/>
        </w:rPr>
        <w:t>A dimensão Área do Câmpus será avaliada por meio da razão entre a Área Construída do Câmpus (ACC) e a Área Construída Total da Universidade (ACT).</w:t>
      </w:r>
    </w:p>
    <w:p w:rsidR="00CD159C" w:rsidRDefault="00CD159C" w:rsidP="00CD159C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CD159C" w:rsidRPr="00CD159C" w:rsidRDefault="00CD159C" w:rsidP="00CD159C">
      <w:pPr>
        <w:pStyle w:val="SemEspaamento"/>
        <w:ind w:firstLine="360"/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Parágrafo Único </w:t>
      </w:r>
      <w:r w:rsidRPr="00CD159C">
        <w:rPr>
          <w:rFonts w:ascii="Arial" w:hAnsi="Arial" w:cs="Arial"/>
          <w:sz w:val="24"/>
          <w:szCs w:val="24"/>
          <w:lang w:eastAsia="pt-BR"/>
        </w:rPr>
        <w:t xml:space="preserve">Para efeito de contagem de Cursos de Pós- Graduação, não serão considerados os Programas de Pós-Graduação em Rede, Doutorados </w:t>
      </w:r>
      <w:proofErr w:type="spellStart"/>
      <w:r w:rsidRPr="00CD159C">
        <w:rPr>
          <w:rFonts w:ascii="Arial" w:hAnsi="Arial" w:cs="Arial"/>
          <w:sz w:val="24"/>
          <w:szCs w:val="24"/>
          <w:lang w:eastAsia="pt-BR"/>
        </w:rPr>
        <w:t>Inter-Institucionais</w:t>
      </w:r>
      <w:proofErr w:type="spellEnd"/>
      <w:r w:rsidRPr="00CD159C">
        <w:rPr>
          <w:rFonts w:ascii="Arial" w:hAnsi="Arial" w:cs="Arial"/>
          <w:sz w:val="24"/>
          <w:szCs w:val="24"/>
          <w:lang w:eastAsia="pt-BR"/>
        </w:rPr>
        <w:t xml:space="preserve"> (</w:t>
      </w:r>
      <w:proofErr w:type="spellStart"/>
      <w:r w:rsidRPr="00CD159C">
        <w:rPr>
          <w:rFonts w:ascii="Arial" w:hAnsi="Arial" w:cs="Arial"/>
          <w:sz w:val="24"/>
          <w:szCs w:val="24"/>
          <w:lang w:eastAsia="pt-BR"/>
        </w:rPr>
        <w:t>DINTERs</w:t>
      </w:r>
      <w:proofErr w:type="spellEnd"/>
      <w:r w:rsidRPr="00CD159C">
        <w:rPr>
          <w:rFonts w:ascii="Arial" w:hAnsi="Arial" w:cs="Arial"/>
          <w:sz w:val="24"/>
          <w:szCs w:val="24"/>
          <w:lang w:eastAsia="pt-BR"/>
        </w:rPr>
        <w:t xml:space="preserve">) e Mestrados </w:t>
      </w:r>
      <w:proofErr w:type="spellStart"/>
      <w:r w:rsidRPr="00CD159C">
        <w:rPr>
          <w:rFonts w:ascii="Arial" w:hAnsi="Arial" w:cs="Arial"/>
          <w:sz w:val="24"/>
          <w:szCs w:val="24"/>
          <w:lang w:eastAsia="pt-BR"/>
        </w:rPr>
        <w:t>Inter-Institucionais</w:t>
      </w:r>
      <w:proofErr w:type="spellEnd"/>
      <w:r w:rsidRPr="00CD159C">
        <w:rPr>
          <w:rFonts w:ascii="Arial" w:hAnsi="Arial" w:cs="Arial"/>
          <w:sz w:val="24"/>
          <w:szCs w:val="24"/>
          <w:lang w:eastAsia="pt-BR"/>
        </w:rPr>
        <w:t xml:space="preserve"> (</w:t>
      </w:r>
      <w:proofErr w:type="spellStart"/>
      <w:r w:rsidRPr="00CD159C">
        <w:rPr>
          <w:rFonts w:ascii="Arial" w:hAnsi="Arial" w:cs="Arial"/>
          <w:sz w:val="24"/>
          <w:szCs w:val="24"/>
          <w:lang w:eastAsia="pt-BR"/>
        </w:rPr>
        <w:t>MINTERs</w:t>
      </w:r>
      <w:proofErr w:type="spellEnd"/>
      <w:r w:rsidRPr="00CD159C">
        <w:rPr>
          <w:rFonts w:ascii="Arial" w:hAnsi="Arial" w:cs="Arial"/>
          <w:sz w:val="24"/>
          <w:szCs w:val="24"/>
          <w:lang w:eastAsia="pt-BR"/>
        </w:rPr>
        <w:t>).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CD159C" w:rsidP="00CD159C">
      <w:pPr>
        <w:pStyle w:val="SemEspaamento"/>
        <w:ind w:firstLine="360"/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Art. 5° </w:t>
      </w:r>
      <w:r w:rsidRPr="00CD159C">
        <w:rPr>
          <w:rFonts w:ascii="Arial" w:hAnsi="Arial" w:cs="Arial"/>
          <w:sz w:val="24"/>
          <w:szCs w:val="24"/>
          <w:lang w:eastAsia="pt-BR"/>
        </w:rPr>
        <w:t>A base de dados para consulta de cada Dimensão será obtida utilizando as informações do ano anterior fornecidas pelo Anuário Estatístico oficial da Instituição.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CD159C" w:rsidP="00CD159C">
      <w:pPr>
        <w:pStyle w:val="SemEspaamento"/>
        <w:jc w:val="center"/>
        <w:rPr>
          <w:rFonts w:ascii="Arial" w:hAnsi="Arial" w:cs="Arial"/>
          <w:b/>
          <w:bCs/>
          <w:kern w:val="36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kern w:val="36"/>
          <w:sz w:val="24"/>
          <w:szCs w:val="24"/>
          <w:lang w:eastAsia="pt-BR"/>
        </w:rPr>
        <w:t>CAPÍTULO II</w:t>
      </w:r>
    </w:p>
    <w:p w:rsidR="00CD159C" w:rsidRPr="00CD159C" w:rsidRDefault="00CD159C" w:rsidP="00CD159C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>DAS RESPONSABILIDADES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715D9" w:rsidRDefault="00CD159C" w:rsidP="003715D9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Art. 6° </w:t>
      </w:r>
      <w:r w:rsidRPr="00CD159C">
        <w:rPr>
          <w:rFonts w:ascii="Arial" w:hAnsi="Arial" w:cs="Arial"/>
          <w:sz w:val="24"/>
          <w:szCs w:val="24"/>
          <w:lang w:eastAsia="pt-BR"/>
        </w:rPr>
        <w:t>Para fins de cálculo, caberá à Pró-Reitoria de Planejamento e Tecnologia da Informação (PRPTI), compilar as informações e realizar o cálculo do Índice de Repasse anualmente.</w:t>
      </w:r>
    </w:p>
    <w:p w:rsidR="003715D9" w:rsidRDefault="003715D9" w:rsidP="003715D9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797422" w:rsidRPr="003715D9" w:rsidRDefault="00454C25" w:rsidP="003715D9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7</w:t>
      </w:r>
      <w:r w:rsidR="00CD159C"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° </w:t>
      </w:r>
      <w:r w:rsidR="003715D9">
        <w:rPr>
          <w:rFonts w:ascii="Arial" w:hAnsi="Arial" w:cs="Arial"/>
          <w:sz w:val="24"/>
          <w:szCs w:val="24"/>
        </w:rPr>
        <w:t>Caberá ao Escritório de Assessoria de projetos e Serviços de Obras e Engenharia fazer o levantamento inicial e manter atualizado no banco de dados da PRPTI a área total utilizada e área construída do campus</w:t>
      </w:r>
    </w:p>
    <w:p w:rsidR="00797422" w:rsidRDefault="00797422" w:rsidP="00CD159C">
      <w:pPr>
        <w:pStyle w:val="SemEspaamento"/>
        <w:ind w:firstLine="708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CD159C" w:rsidRPr="00797422" w:rsidRDefault="00797422" w:rsidP="00797422">
      <w:pPr>
        <w:pStyle w:val="SemEspaamento"/>
        <w:ind w:firstLine="708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8</w:t>
      </w: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° 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>O tratamento matemático para a obtenção do índice de Repasse será dado pela fórmula que se segue: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715D9" w:rsidRPr="003715D9" w:rsidRDefault="003715D9" w:rsidP="003715D9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715D9">
        <w:rPr>
          <w:rFonts w:ascii="Arial" w:hAnsi="Arial" w:cs="Arial"/>
          <w:b/>
          <w:sz w:val="24"/>
          <w:szCs w:val="24"/>
          <w:lang w:eastAsia="pt-BR"/>
        </w:rPr>
        <w:t>IR = [(NA</w:t>
      </w:r>
      <w:r w:rsidRPr="003715D9">
        <w:rPr>
          <w:rFonts w:ascii="Arial" w:hAnsi="Arial" w:cs="Arial"/>
          <w:b/>
          <w:sz w:val="24"/>
          <w:szCs w:val="24"/>
          <w:vertAlign w:val="subscript"/>
          <w:lang w:eastAsia="pt-BR"/>
        </w:rPr>
        <w:t>C</w:t>
      </w:r>
      <w:r w:rsidRPr="003715D9">
        <w:rPr>
          <w:rFonts w:ascii="Arial" w:hAnsi="Arial" w:cs="Arial"/>
          <w:b/>
          <w:sz w:val="24"/>
          <w:szCs w:val="24"/>
          <w:lang w:eastAsia="pt-BR"/>
        </w:rPr>
        <w:t xml:space="preserve"> ∕ NA</w:t>
      </w:r>
      <w:r w:rsidRPr="003715D9">
        <w:rPr>
          <w:rFonts w:ascii="Arial" w:hAnsi="Arial" w:cs="Arial"/>
          <w:b/>
          <w:sz w:val="24"/>
          <w:szCs w:val="24"/>
          <w:vertAlign w:val="subscript"/>
          <w:lang w:eastAsia="pt-BR"/>
        </w:rPr>
        <w:t>T</w:t>
      </w:r>
      <w:r w:rsidRPr="003715D9">
        <w:rPr>
          <w:rFonts w:ascii="Arial" w:hAnsi="Arial" w:cs="Arial"/>
          <w:b/>
          <w:sz w:val="24"/>
          <w:szCs w:val="24"/>
          <w:lang w:eastAsia="pt-BR"/>
        </w:rPr>
        <w:t>) x 0,3] + [(NEN</w:t>
      </w:r>
      <w:r w:rsidRPr="003715D9">
        <w:rPr>
          <w:rFonts w:ascii="Arial" w:hAnsi="Arial" w:cs="Arial"/>
          <w:b/>
          <w:sz w:val="24"/>
          <w:szCs w:val="24"/>
          <w:vertAlign w:val="subscript"/>
          <w:lang w:eastAsia="pt-BR"/>
        </w:rPr>
        <w:t>C</w:t>
      </w:r>
      <w:r w:rsidRPr="003715D9">
        <w:rPr>
          <w:rFonts w:ascii="Arial" w:hAnsi="Arial" w:cs="Arial"/>
          <w:b/>
          <w:sz w:val="24"/>
          <w:szCs w:val="24"/>
          <w:lang w:eastAsia="pt-BR"/>
        </w:rPr>
        <w:t xml:space="preserve"> ∕ NEN</w:t>
      </w:r>
      <w:r w:rsidRPr="003715D9">
        <w:rPr>
          <w:rFonts w:ascii="Arial" w:hAnsi="Arial" w:cs="Arial"/>
          <w:b/>
          <w:sz w:val="24"/>
          <w:szCs w:val="24"/>
          <w:vertAlign w:val="subscript"/>
          <w:lang w:eastAsia="pt-BR"/>
        </w:rPr>
        <w:t>T</w:t>
      </w:r>
      <w:r w:rsidRPr="003715D9">
        <w:rPr>
          <w:rFonts w:ascii="Arial" w:hAnsi="Arial" w:cs="Arial"/>
          <w:b/>
          <w:sz w:val="24"/>
          <w:szCs w:val="24"/>
          <w:lang w:eastAsia="pt-BR"/>
        </w:rPr>
        <w:t>) x 0,1] + [(NP</w:t>
      </w:r>
      <w:r w:rsidRPr="003715D9">
        <w:rPr>
          <w:rFonts w:ascii="Arial" w:hAnsi="Arial" w:cs="Arial"/>
          <w:b/>
          <w:sz w:val="24"/>
          <w:szCs w:val="24"/>
          <w:vertAlign w:val="subscript"/>
          <w:lang w:eastAsia="pt-BR"/>
        </w:rPr>
        <w:t>C</w:t>
      </w:r>
      <w:r w:rsidRPr="003715D9">
        <w:rPr>
          <w:rFonts w:ascii="Arial" w:hAnsi="Arial" w:cs="Arial"/>
          <w:b/>
          <w:sz w:val="24"/>
          <w:szCs w:val="24"/>
          <w:lang w:eastAsia="pt-BR"/>
        </w:rPr>
        <w:t xml:space="preserve"> ∕ (NP</w:t>
      </w:r>
      <w:r w:rsidRPr="003715D9">
        <w:rPr>
          <w:rFonts w:ascii="Arial" w:hAnsi="Arial" w:cs="Arial"/>
          <w:b/>
          <w:sz w:val="24"/>
          <w:szCs w:val="24"/>
          <w:vertAlign w:val="subscript"/>
          <w:lang w:eastAsia="pt-BR"/>
        </w:rPr>
        <w:t>T</w:t>
      </w:r>
      <w:r w:rsidRPr="003715D9">
        <w:rPr>
          <w:rFonts w:ascii="Arial" w:hAnsi="Arial" w:cs="Arial"/>
          <w:b/>
          <w:sz w:val="24"/>
          <w:szCs w:val="24"/>
          <w:lang w:eastAsia="pt-BR"/>
        </w:rPr>
        <w:t>)) x 0,1] + [(NPG</w:t>
      </w:r>
      <w:r w:rsidRPr="003715D9">
        <w:rPr>
          <w:rFonts w:ascii="Arial" w:hAnsi="Arial" w:cs="Arial"/>
          <w:b/>
          <w:sz w:val="24"/>
          <w:szCs w:val="24"/>
          <w:vertAlign w:val="subscript"/>
          <w:lang w:eastAsia="pt-BR"/>
        </w:rPr>
        <w:t>C</w:t>
      </w:r>
      <w:r w:rsidRPr="003715D9">
        <w:rPr>
          <w:rFonts w:ascii="Arial" w:hAnsi="Arial" w:cs="Arial"/>
          <w:b/>
          <w:sz w:val="24"/>
          <w:szCs w:val="24"/>
          <w:lang w:eastAsia="pt-BR"/>
        </w:rPr>
        <w:t>∕ NPG</w:t>
      </w:r>
      <w:r w:rsidRPr="003715D9">
        <w:rPr>
          <w:rFonts w:ascii="Arial" w:hAnsi="Arial" w:cs="Arial"/>
          <w:b/>
          <w:sz w:val="24"/>
          <w:szCs w:val="24"/>
          <w:vertAlign w:val="subscript"/>
          <w:lang w:eastAsia="pt-BR"/>
        </w:rPr>
        <w:t>T</w:t>
      </w:r>
      <w:r w:rsidRPr="003715D9">
        <w:rPr>
          <w:rFonts w:ascii="Arial" w:hAnsi="Arial" w:cs="Arial"/>
          <w:b/>
          <w:sz w:val="24"/>
          <w:szCs w:val="24"/>
          <w:lang w:eastAsia="pt-BR"/>
        </w:rPr>
        <w:t>) x 0,1] + [(</w:t>
      </w:r>
      <w:proofErr w:type="spellStart"/>
      <w:r w:rsidRPr="003715D9">
        <w:rPr>
          <w:rFonts w:ascii="Arial" w:hAnsi="Arial" w:cs="Arial"/>
          <w:b/>
          <w:sz w:val="24"/>
          <w:szCs w:val="24"/>
          <w:lang w:eastAsia="pt-BR"/>
        </w:rPr>
        <w:t>NEXc</w:t>
      </w:r>
      <w:proofErr w:type="spellEnd"/>
      <w:r w:rsidRPr="003715D9">
        <w:rPr>
          <w:rFonts w:ascii="Arial" w:hAnsi="Arial" w:cs="Arial"/>
          <w:b/>
          <w:sz w:val="24"/>
          <w:szCs w:val="24"/>
          <w:lang w:eastAsia="pt-BR"/>
        </w:rPr>
        <w:t xml:space="preserve"> ∕ NEX</w:t>
      </w:r>
      <w:r w:rsidRPr="003715D9">
        <w:rPr>
          <w:rFonts w:ascii="Arial" w:hAnsi="Arial" w:cs="Arial"/>
          <w:b/>
          <w:sz w:val="24"/>
          <w:szCs w:val="24"/>
          <w:vertAlign w:val="subscript"/>
          <w:lang w:eastAsia="pt-BR"/>
        </w:rPr>
        <w:t>T</w:t>
      </w:r>
      <w:r w:rsidRPr="003715D9">
        <w:rPr>
          <w:rFonts w:ascii="Arial" w:hAnsi="Arial" w:cs="Arial"/>
          <w:b/>
          <w:sz w:val="24"/>
          <w:szCs w:val="24"/>
          <w:lang w:eastAsia="pt-BR"/>
        </w:rPr>
        <w:t>)) x 0,2</w:t>
      </w:r>
      <w:r w:rsidRPr="003715D9">
        <w:rPr>
          <w:rFonts w:ascii="Arial" w:hAnsi="Arial" w:cs="Arial"/>
          <w:b/>
          <w:sz w:val="24"/>
          <w:szCs w:val="24"/>
          <w:u w:val="single"/>
          <w:lang w:eastAsia="pt-BR"/>
        </w:rPr>
        <w:t>]</w:t>
      </w:r>
      <w:r w:rsidRPr="003715D9">
        <w:rPr>
          <w:rFonts w:ascii="Arial" w:hAnsi="Arial" w:cs="Arial"/>
          <w:b/>
          <w:sz w:val="24"/>
          <w:szCs w:val="24"/>
          <w:lang w:eastAsia="pt-BR"/>
        </w:rPr>
        <w:t xml:space="preserve"> + [(AC</w:t>
      </w:r>
      <w:r w:rsidRPr="003715D9">
        <w:rPr>
          <w:rFonts w:ascii="Arial" w:hAnsi="Arial" w:cs="Arial"/>
          <w:b/>
          <w:sz w:val="24"/>
          <w:szCs w:val="24"/>
          <w:vertAlign w:val="subscript"/>
          <w:lang w:eastAsia="pt-BR"/>
        </w:rPr>
        <w:t>C</w:t>
      </w:r>
      <w:r w:rsidRPr="003715D9">
        <w:rPr>
          <w:rFonts w:ascii="Arial" w:hAnsi="Arial" w:cs="Arial"/>
          <w:b/>
          <w:sz w:val="24"/>
          <w:szCs w:val="24"/>
          <w:lang w:eastAsia="pt-BR"/>
        </w:rPr>
        <w:t xml:space="preserve"> ∕ AC</w:t>
      </w:r>
      <w:r w:rsidRPr="003715D9">
        <w:rPr>
          <w:rFonts w:ascii="Arial" w:hAnsi="Arial" w:cs="Arial"/>
          <w:b/>
          <w:sz w:val="24"/>
          <w:szCs w:val="24"/>
          <w:vertAlign w:val="subscript"/>
          <w:lang w:eastAsia="pt-BR"/>
        </w:rPr>
        <w:t>T</w:t>
      </w:r>
      <w:r w:rsidRPr="003715D9">
        <w:rPr>
          <w:rFonts w:ascii="Arial" w:hAnsi="Arial" w:cs="Arial"/>
          <w:b/>
          <w:sz w:val="24"/>
          <w:szCs w:val="24"/>
          <w:lang w:eastAsia="pt-BR"/>
        </w:rPr>
        <w:t>) x 0,1] + [(</w:t>
      </w:r>
      <w:proofErr w:type="spellStart"/>
      <w:r w:rsidRPr="003715D9">
        <w:rPr>
          <w:rFonts w:ascii="Arial" w:hAnsi="Arial" w:cs="Arial"/>
          <w:b/>
          <w:sz w:val="24"/>
          <w:szCs w:val="24"/>
          <w:lang w:eastAsia="pt-BR"/>
        </w:rPr>
        <w:t>ATc</w:t>
      </w:r>
      <w:proofErr w:type="spellEnd"/>
      <w:r w:rsidRPr="003715D9">
        <w:rPr>
          <w:rFonts w:ascii="Arial" w:hAnsi="Arial" w:cs="Arial"/>
          <w:b/>
          <w:sz w:val="24"/>
          <w:szCs w:val="24"/>
          <w:lang w:eastAsia="pt-BR"/>
        </w:rPr>
        <w:t xml:space="preserve">/ </w:t>
      </w:r>
      <w:proofErr w:type="spellStart"/>
      <w:r w:rsidRPr="003715D9">
        <w:rPr>
          <w:rFonts w:ascii="Arial" w:hAnsi="Arial" w:cs="Arial"/>
          <w:b/>
          <w:sz w:val="24"/>
          <w:szCs w:val="24"/>
          <w:lang w:eastAsia="pt-BR"/>
        </w:rPr>
        <w:t>ATu</w:t>
      </w:r>
      <w:proofErr w:type="spellEnd"/>
      <w:r w:rsidRPr="003715D9">
        <w:rPr>
          <w:rFonts w:ascii="Arial" w:hAnsi="Arial" w:cs="Arial"/>
          <w:b/>
          <w:sz w:val="24"/>
          <w:szCs w:val="24"/>
          <w:lang w:eastAsia="pt-BR"/>
        </w:rPr>
        <w:t>) x 0,1]</w:t>
      </w:r>
    </w:p>
    <w:p w:rsidR="00CD159C" w:rsidRPr="00CD159C" w:rsidRDefault="00CD159C" w:rsidP="00CD159C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sz w:val="20"/>
          <w:szCs w:val="20"/>
          <w:lang w:eastAsia="pt-BR"/>
        </w:rPr>
        <w:t>I.</w:t>
      </w:r>
      <w:r w:rsidRPr="00291FFD">
        <w:rPr>
          <w:rFonts w:ascii="Arial" w:hAnsi="Arial" w:cs="Arial"/>
          <w:sz w:val="20"/>
          <w:szCs w:val="20"/>
          <w:lang w:eastAsia="pt-BR"/>
        </w:rPr>
        <w:t xml:space="preserve"> NAC: número de alunos </w:t>
      </w:r>
      <w:r>
        <w:rPr>
          <w:rFonts w:ascii="Arial" w:hAnsi="Arial" w:cs="Arial"/>
          <w:sz w:val="20"/>
          <w:szCs w:val="20"/>
          <w:lang w:eastAsia="pt-BR"/>
        </w:rPr>
        <w:t xml:space="preserve">ativos </w:t>
      </w:r>
      <w:r w:rsidRPr="00291FFD">
        <w:rPr>
          <w:rFonts w:ascii="Arial" w:hAnsi="Arial" w:cs="Arial"/>
          <w:sz w:val="20"/>
          <w:szCs w:val="20"/>
          <w:lang w:eastAsia="pt-BR"/>
        </w:rPr>
        <w:t>por campus</w:t>
      </w:r>
      <w:r>
        <w:rPr>
          <w:rFonts w:ascii="Arial" w:hAnsi="Arial" w:cs="Arial"/>
          <w:sz w:val="20"/>
          <w:szCs w:val="20"/>
          <w:lang w:eastAsia="pt-BR"/>
        </w:rPr>
        <w:t xml:space="preserve"> dos cursos de fluxo contínuo</w:t>
      </w:r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sz w:val="20"/>
          <w:szCs w:val="20"/>
          <w:lang w:eastAsia="pt-BR"/>
        </w:rPr>
        <w:t>II</w:t>
      </w:r>
      <w:r w:rsidRPr="00291FFD">
        <w:rPr>
          <w:rFonts w:ascii="Arial" w:hAnsi="Arial" w:cs="Arial"/>
          <w:sz w:val="20"/>
          <w:szCs w:val="20"/>
          <w:lang w:eastAsia="pt-BR"/>
        </w:rPr>
        <w:t>. NAT: número de alunos</w:t>
      </w:r>
      <w:r>
        <w:rPr>
          <w:rFonts w:ascii="Arial" w:hAnsi="Arial" w:cs="Arial"/>
          <w:sz w:val="20"/>
          <w:szCs w:val="20"/>
          <w:lang w:eastAsia="pt-BR"/>
        </w:rPr>
        <w:t xml:space="preserve"> ativos</w:t>
      </w:r>
      <w:r w:rsidRPr="00291FFD">
        <w:rPr>
          <w:rFonts w:ascii="Arial" w:hAnsi="Arial" w:cs="Arial"/>
          <w:sz w:val="20"/>
          <w:szCs w:val="20"/>
          <w:lang w:eastAsia="pt-BR"/>
        </w:rPr>
        <w:t xml:space="preserve"> por total</w:t>
      </w:r>
      <w:r>
        <w:rPr>
          <w:rFonts w:ascii="Arial" w:hAnsi="Arial" w:cs="Arial"/>
          <w:sz w:val="20"/>
          <w:szCs w:val="20"/>
          <w:lang w:eastAsia="pt-BR"/>
        </w:rPr>
        <w:t xml:space="preserve"> dos cursos de fluxo contínuo</w:t>
      </w:r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sz w:val="20"/>
          <w:szCs w:val="20"/>
          <w:lang w:eastAsia="pt-BR"/>
        </w:rPr>
        <w:t>III</w:t>
      </w:r>
      <w:r w:rsidRPr="00291FFD">
        <w:rPr>
          <w:rFonts w:ascii="Arial" w:hAnsi="Arial" w:cs="Arial"/>
          <w:sz w:val="20"/>
          <w:szCs w:val="20"/>
          <w:lang w:eastAsia="pt-BR"/>
        </w:rPr>
        <w:t>. NENC: número de cursos de graduação</w:t>
      </w:r>
      <w:r>
        <w:rPr>
          <w:rFonts w:ascii="Arial" w:hAnsi="Arial" w:cs="Arial"/>
          <w:sz w:val="20"/>
          <w:szCs w:val="20"/>
          <w:lang w:eastAsia="pt-BR"/>
        </w:rPr>
        <w:t xml:space="preserve"> de fluxo contínuo</w:t>
      </w:r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sz w:val="20"/>
          <w:szCs w:val="20"/>
          <w:lang w:eastAsia="pt-BR"/>
        </w:rPr>
        <w:t>IV</w:t>
      </w:r>
      <w:r w:rsidRPr="00291FFD">
        <w:rPr>
          <w:rFonts w:ascii="Arial" w:hAnsi="Arial" w:cs="Arial"/>
          <w:sz w:val="20"/>
          <w:szCs w:val="20"/>
          <w:lang w:eastAsia="pt-BR"/>
        </w:rPr>
        <w:t xml:space="preserve">. NENT: número total de cursos </w:t>
      </w:r>
      <w:r>
        <w:rPr>
          <w:rFonts w:ascii="Arial" w:hAnsi="Arial" w:cs="Arial"/>
          <w:sz w:val="20"/>
          <w:szCs w:val="20"/>
          <w:lang w:eastAsia="pt-BR"/>
        </w:rPr>
        <w:t xml:space="preserve">de fluxo contínuo </w:t>
      </w:r>
      <w:r w:rsidRPr="00291FFD">
        <w:rPr>
          <w:rFonts w:ascii="Arial" w:hAnsi="Arial" w:cs="Arial"/>
          <w:sz w:val="20"/>
          <w:szCs w:val="20"/>
          <w:lang w:eastAsia="pt-BR"/>
        </w:rPr>
        <w:t>da Universidade</w:t>
      </w:r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sz w:val="20"/>
          <w:szCs w:val="20"/>
          <w:lang w:eastAsia="pt-BR"/>
        </w:rPr>
        <w:t>V.</w:t>
      </w:r>
      <w:r w:rsidRPr="00291FFD">
        <w:rPr>
          <w:rFonts w:ascii="Arial" w:hAnsi="Arial" w:cs="Arial"/>
          <w:sz w:val="20"/>
          <w:szCs w:val="20"/>
          <w:lang w:eastAsia="pt-BR"/>
        </w:rPr>
        <w:t xml:space="preserve"> NPC: número de Projetos de pesquisa, núcleos, centros, museus, coleções científicas e acordos de cooperação</w:t>
      </w:r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sz w:val="20"/>
          <w:szCs w:val="20"/>
          <w:lang w:eastAsia="pt-BR"/>
        </w:rPr>
        <w:t>VI.</w:t>
      </w:r>
      <w:r w:rsidRPr="00291FFD">
        <w:rPr>
          <w:rFonts w:ascii="Arial" w:hAnsi="Arial" w:cs="Arial"/>
          <w:sz w:val="20"/>
          <w:szCs w:val="20"/>
          <w:lang w:eastAsia="pt-BR"/>
        </w:rPr>
        <w:t xml:space="preserve"> NPT: número total de projetos de pesquisa, núcleos, centros, museus, coleções científicas e acordos de cooperação da Universidade</w:t>
      </w:r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sz w:val="20"/>
          <w:szCs w:val="20"/>
          <w:lang w:eastAsia="pt-BR"/>
        </w:rPr>
        <w:t>VII.</w:t>
      </w:r>
      <w:r w:rsidRPr="00291FFD">
        <w:rPr>
          <w:rFonts w:ascii="Arial" w:hAnsi="Arial" w:cs="Arial"/>
          <w:sz w:val="20"/>
          <w:szCs w:val="20"/>
          <w:lang w:eastAsia="pt-BR"/>
        </w:rPr>
        <w:t xml:space="preserve"> NPGC: número de Cursos de Pós-Graduação</w:t>
      </w:r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sz w:val="20"/>
          <w:szCs w:val="20"/>
          <w:lang w:eastAsia="pt-BR"/>
        </w:rPr>
        <w:t>VIII.</w:t>
      </w:r>
      <w:r w:rsidRPr="00291FFD">
        <w:rPr>
          <w:rFonts w:ascii="Arial" w:hAnsi="Arial" w:cs="Arial"/>
          <w:sz w:val="20"/>
          <w:szCs w:val="20"/>
          <w:lang w:eastAsia="pt-BR"/>
        </w:rPr>
        <w:t xml:space="preserve"> NPGT: número total de Cursos de Pós-Graduação da Universidade</w:t>
      </w:r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sz w:val="20"/>
          <w:szCs w:val="20"/>
          <w:lang w:eastAsia="pt-BR"/>
        </w:rPr>
        <w:t>IX.</w:t>
      </w:r>
      <w:r w:rsidRPr="00291FFD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291FFD">
        <w:rPr>
          <w:rFonts w:ascii="Arial" w:hAnsi="Arial" w:cs="Arial"/>
          <w:sz w:val="20"/>
          <w:szCs w:val="20"/>
          <w:lang w:eastAsia="pt-BR"/>
        </w:rPr>
        <w:t>NEXc</w:t>
      </w:r>
      <w:proofErr w:type="spellEnd"/>
      <w:r w:rsidRPr="00291FFD">
        <w:rPr>
          <w:rFonts w:ascii="Arial" w:hAnsi="Arial" w:cs="Arial"/>
          <w:sz w:val="20"/>
          <w:szCs w:val="20"/>
          <w:lang w:eastAsia="pt-BR"/>
        </w:rPr>
        <w:t xml:space="preserve">: número de programas e projetos de Extensão, eventos, cursos, de empresas </w:t>
      </w:r>
      <w:proofErr w:type="spellStart"/>
      <w:r w:rsidRPr="00291FFD">
        <w:rPr>
          <w:rFonts w:ascii="Arial" w:hAnsi="Arial" w:cs="Arial"/>
          <w:sz w:val="20"/>
          <w:szCs w:val="20"/>
          <w:lang w:eastAsia="pt-BR"/>
        </w:rPr>
        <w:t>júniors</w:t>
      </w:r>
      <w:proofErr w:type="spellEnd"/>
      <w:r w:rsidRPr="00291FFD">
        <w:rPr>
          <w:rFonts w:ascii="Arial" w:hAnsi="Arial" w:cs="Arial"/>
          <w:sz w:val="20"/>
          <w:szCs w:val="20"/>
          <w:lang w:eastAsia="pt-BR"/>
        </w:rPr>
        <w:t xml:space="preserve"> e prestação de serviço do </w:t>
      </w:r>
      <w:proofErr w:type="spellStart"/>
      <w:r w:rsidRPr="00291FFD">
        <w:rPr>
          <w:rFonts w:ascii="Arial" w:hAnsi="Arial" w:cs="Arial"/>
          <w:sz w:val="20"/>
          <w:szCs w:val="20"/>
          <w:lang w:eastAsia="pt-BR"/>
        </w:rPr>
        <w:t>câmpus</w:t>
      </w:r>
      <w:proofErr w:type="spellEnd"/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sz w:val="20"/>
          <w:szCs w:val="20"/>
          <w:lang w:eastAsia="pt-BR"/>
        </w:rPr>
        <w:t>X.</w:t>
      </w:r>
      <w:r w:rsidRPr="00291FFD">
        <w:rPr>
          <w:rFonts w:ascii="Arial" w:hAnsi="Arial" w:cs="Arial"/>
          <w:sz w:val="20"/>
          <w:szCs w:val="20"/>
          <w:lang w:eastAsia="pt-BR"/>
        </w:rPr>
        <w:t xml:space="preserve"> NEXT: número total de programas e projetos de Extensão, eventos, cursos, de empresas </w:t>
      </w:r>
      <w:proofErr w:type="spellStart"/>
      <w:r w:rsidRPr="00291FFD">
        <w:rPr>
          <w:rFonts w:ascii="Arial" w:hAnsi="Arial" w:cs="Arial"/>
          <w:sz w:val="20"/>
          <w:szCs w:val="20"/>
          <w:lang w:eastAsia="pt-BR"/>
        </w:rPr>
        <w:t>júniors</w:t>
      </w:r>
      <w:proofErr w:type="spellEnd"/>
      <w:r w:rsidRPr="00291FFD">
        <w:rPr>
          <w:rFonts w:ascii="Arial" w:hAnsi="Arial" w:cs="Arial"/>
          <w:sz w:val="20"/>
          <w:szCs w:val="20"/>
          <w:lang w:eastAsia="pt-BR"/>
        </w:rPr>
        <w:t xml:space="preserve"> e prestação de serviço da Universidade.</w:t>
      </w:r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sz w:val="20"/>
          <w:szCs w:val="20"/>
          <w:lang w:eastAsia="pt-BR"/>
        </w:rPr>
        <w:t>XI.</w:t>
      </w:r>
      <w:r w:rsidRPr="00291FFD">
        <w:rPr>
          <w:rFonts w:ascii="Arial" w:hAnsi="Arial" w:cs="Arial"/>
          <w:sz w:val="20"/>
          <w:szCs w:val="20"/>
          <w:lang w:eastAsia="pt-BR"/>
        </w:rPr>
        <w:t xml:space="preserve"> ACC: Área Construída do Câmpus</w:t>
      </w:r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bCs/>
          <w:sz w:val="20"/>
          <w:szCs w:val="20"/>
          <w:lang w:eastAsia="pt-BR"/>
        </w:rPr>
        <w:t xml:space="preserve">XII. </w:t>
      </w:r>
      <w:r w:rsidRPr="00291FFD">
        <w:rPr>
          <w:rFonts w:ascii="Arial" w:hAnsi="Arial" w:cs="Arial"/>
          <w:sz w:val="20"/>
          <w:szCs w:val="20"/>
          <w:lang w:eastAsia="pt-BR"/>
        </w:rPr>
        <w:t>ACT: Área Construída Total da Universidade</w:t>
      </w:r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sz w:val="20"/>
          <w:szCs w:val="20"/>
          <w:lang w:eastAsia="pt-BR"/>
        </w:rPr>
        <w:t>XIII.</w:t>
      </w:r>
      <w:r w:rsidRPr="00291FFD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291FFD">
        <w:rPr>
          <w:rFonts w:ascii="Arial" w:hAnsi="Arial" w:cs="Arial"/>
          <w:sz w:val="20"/>
          <w:szCs w:val="20"/>
          <w:lang w:eastAsia="pt-BR"/>
        </w:rPr>
        <w:t>ATc</w:t>
      </w:r>
      <w:proofErr w:type="spellEnd"/>
      <w:r w:rsidRPr="00291FFD">
        <w:rPr>
          <w:rFonts w:ascii="Arial" w:hAnsi="Arial" w:cs="Arial"/>
          <w:sz w:val="20"/>
          <w:szCs w:val="20"/>
          <w:lang w:eastAsia="pt-BR"/>
        </w:rPr>
        <w:t>: Área Total do Campus</w:t>
      </w:r>
    </w:p>
    <w:p w:rsidR="00521B10" w:rsidRPr="00291FFD" w:rsidRDefault="00521B10" w:rsidP="00521B1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91FFD">
        <w:rPr>
          <w:rFonts w:ascii="Arial" w:hAnsi="Arial" w:cs="Arial"/>
          <w:b/>
          <w:sz w:val="20"/>
          <w:szCs w:val="20"/>
          <w:lang w:eastAsia="pt-BR"/>
        </w:rPr>
        <w:t>XIV.</w:t>
      </w:r>
      <w:r w:rsidRPr="00291FFD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291FFD">
        <w:rPr>
          <w:rFonts w:ascii="Arial" w:hAnsi="Arial" w:cs="Arial"/>
          <w:sz w:val="20"/>
          <w:szCs w:val="20"/>
          <w:lang w:eastAsia="pt-BR"/>
        </w:rPr>
        <w:t>ATu</w:t>
      </w:r>
      <w:proofErr w:type="spellEnd"/>
      <w:r w:rsidRPr="00291FFD">
        <w:rPr>
          <w:rFonts w:ascii="Arial" w:hAnsi="Arial" w:cs="Arial"/>
          <w:sz w:val="20"/>
          <w:szCs w:val="20"/>
          <w:lang w:eastAsia="pt-BR"/>
        </w:rPr>
        <w:t>: Área Total da Universidade</w:t>
      </w:r>
    </w:p>
    <w:p w:rsidR="00521B10" w:rsidRPr="00291FFD" w:rsidRDefault="00521B10" w:rsidP="00521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159C" w:rsidRPr="00835E1E" w:rsidRDefault="00CD159C" w:rsidP="00CD159C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CD159C" w:rsidRPr="00CD159C" w:rsidRDefault="00797422" w:rsidP="00CD159C">
      <w:pPr>
        <w:pStyle w:val="SemEspaamento"/>
        <w:ind w:firstLine="708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9</w:t>
      </w:r>
      <w:r w:rsidR="00CD159C"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° 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>Fica assegurado uma porcentagem de 7% (Sete por cento) do teto orçame</w:t>
      </w:r>
      <w:r w:rsidR="00DD20E8">
        <w:rPr>
          <w:rFonts w:ascii="Arial" w:hAnsi="Arial" w:cs="Arial"/>
          <w:sz w:val="24"/>
          <w:szCs w:val="24"/>
          <w:lang w:eastAsia="pt-BR"/>
        </w:rPr>
        <w:t>ntário para Outras Despesas de C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>ust</w:t>
      </w:r>
      <w:r w:rsidR="00DD20E8">
        <w:rPr>
          <w:rFonts w:ascii="Arial" w:hAnsi="Arial" w:cs="Arial"/>
          <w:sz w:val="24"/>
          <w:szCs w:val="24"/>
          <w:lang w:eastAsia="pt-BR"/>
        </w:rPr>
        <w:t>eio (GND 3) para o custeio e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 xml:space="preserve"> a manutenção, sendo garantido a cada Câmpus o valor de 4,5% (Quatro vírgula cinco por cento) a ser dividido pelos curso de graduação de oferta contínua. Ao restante, 2,5% (Dois vírgula cinco por cento) aplicar-se-á Índice d</w:t>
      </w:r>
      <w:r w:rsidR="00454C25">
        <w:rPr>
          <w:rFonts w:ascii="Arial" w:hAnsi="Arial" w:cs="Arial"/>
          <w:sz w:val="24"/>
          <w:szCs w:val="24"/>
          <w:lang w:eastAsia="pt-BR"/>
        </w:rPr>
        <w:t>e Repasse estabelecido no Art. 7</w:t>
      </w:r>
      <w:r w:rsidR="00CD159C" w:rsidRPr="00CD159C">
        <w:rPr>
          <w:rFonts w:ascii="Arial" w:hAnsi="Arial" w:cs="Arial"/>
          <w:b/>
          <w:bCs/>
          <w:sz w:val="24"/>
          <w:szCs w:val="24"/>
          <w:lang w:eastAsia="pt-BR"/>
        </w:rPr>
        <w:t>º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>.</w:t>
      </w:r>
    </w:p>
    <w:p w:rsidR="00CD159C" w:rsidRPr="00521B10" w:rsidRDefault="00CD159C" w:rsidP="00CD159C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Parágrafo </w:t>
      </w:r>
      <w:r w:rsidRPr="00521B10">
        <w:rPr>
          <w:rFonts w:ascii="Arial" w:hAnsi="Arial" w:cs="Arial"/>
          <w:bCs/>
          <w:sz w:val="24"/>
          <w:szCs w:val="24"/>
          <w:lang w:eastAsia="pt-BR"/>
        </w:rPr>
        <w:t xml:space="preserve">Único </w:t>
      </w:r>
      <w:r w:rsidR="00521B10" w:rsidRPr="00521B10">
        <w:rPr>
          <w:rFonts w:ascii="Arial" w:hAnsi="Arial" w:cs="Arial"/>
          <w:bCs/>
          <w:sz w:val="24"/>
          <w:szCs w:val="24"/>
          <w:lang w:eastAsia="pt-BR"/>
        </w:rPr>
        <w:t xml:space="preserve">Parágrafo Único </w:t>
      </w:r>
      <w:r w:rsidR="00521B10" w:rsidRPr="00521B10">
        <w:rPr>
          <w:rFonts w:ascii="Arial" w:hAnsi="Arial" w:cs="Arial"/>
          <w:sz w:val="24"/>
          <w:szCs w:val="24"/>
          <w:lang w:eastAsia="pt-BR"/>
        </w:rPr>
        <w:t xml:space="preserve">Fica assegurado ao Câmpus Universitário do Médio Araguaia Dom Pedro </w:t>
      </w:r>
      <w:proofErr w:type="spellStart"/>
      <w:r w:rsidR="00521B10" w:rsidRPr="00521B10">
        <w:rPr>
          <w:rFonts w:ascii="Arial" w:hAnsi="Arial" w:cs="Arial"/>
          <w:sz w:val="24"/>
          <w:szCs w:val="24"/>
          <w:lang w:eastAsia="pt-BR"/>
        </w:rPr>
        <w:t>Casaldáliga</w:t>
      </w:r>
      <w:proofErr w:type="spellEnd"/>
      <w:r w:rsidR="00521B10" w:rsidRPr="00521B10">
        <w:rPr>
          <w:rFonts w:ascii="Arial" w:hAnsi="Arial" w:cs="Arial"/>
          <w:sz w:val="24"/>
          <w:szCs w:val="24"/>
          <w:lang w:eastAsia="pt-BR"/>
        </w:rPr>
        <w:t xml:space="preserve"> em </w:t>
      </w:r>
      <w:proofErr w:type="spellStart"/>
      <w:r w:rsidR="00521B10" w:rsidRPr="00521B10">
        <w:rPr>
          <w:rFonts w:ascii="Arial" w:hAnsi="Arial" w:cs="Arial"/>
          <w:sz w:val="24"/>
          <w:szCs w:val="24"/>
          <w:lang w:eastAsia="pt-BR"/>
        </w:rPr>
        <w:t>Luciara</w:t>
      </w:r>
      <w:proofErr w:type="spellEnd"/>
      <w:r w:rsidR="00521B10" w:rsidRPr="00521B10">
        <w:rPr>
          <w:rFonts w:ascii="Arial" w:hAnsi="Arial" w:cs="Arial"/>
          <w:sz w:val="24"/>
          <w:szCs w:val="24"/>
          <w:lang w:eastAsia="pt-BR"/>
        </w:rPr>
        <w:t xml:space="preserve"> e do Câmpus Universitário Vale do Teles Pires em Colíder uma porcentagem fixa de 0,25% (zero vírgula vinte e cinco por cento) do teto orçamentário para Outras Despesas de custeio (GND3).</w:t>
      </w:r>
    </w:p>
    <w:p w:rsidR="00CD159C" w:rsidRDefault="00CD159C" w:rsidP="00CD159C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CD159C" w:rsidRPr="00CD159C" w:rsidRDefault="00797422" w:rsidP="00CD159C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10</w:t>
      </w:r>
      <w:r w:rsidR="00CD159C"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° 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 xml:space="preserve">Fica assegurado uma porcentagem de 20% (Vinte por cento) do teto orçamentário para Investimentos (GND 4) para a aquisição de materiais permanentes e obras, </w:t>
      </w:r>
      <w:r w:rsidR="00DD20E8" w:rsidRPr="00CD159C">
        <w:rPr>
          <w:rFonts w:ascii="Arial" w:hAnsi="Arial" w:cs="Arial"/>
          <w:sz w:val="24"/>
          <w:szCs w:val="24"/>
          <w:lang w:eastAsia="pt-BR"/>
        </w:rPr>
        <w:t>aplicando-se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D20E8">
        <w:rPr>
          <w:rFonts w:ascii="Arial" w:hAnsi="Arial" w:cs="Arial"/>
          <w:sz w:val="24"/>
          <w:szCs w:val="24"/>
          <w:lang w:eastAsia="pt-BR"/>
        </w:rPr>
        <w:t xml:space="preserve">o 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>Índice de Repasse estabelecido no Art. 8</w:t>
      </w:r>
      <w:r w:rsidR="00CD159C" w:rsidRPr="00CD159C">
        <w:rPr>
          <w:rFonts w:ascii="Arial" w:hAnsi="Arial" w:cs="Arial"/>
          <w:b/>
          <w:bCs/>
          <w:sz w:val="24"/>
          <w:szCs w:val="24"/>
          <w:lang w:eastAsia="pt-BR"/>
        </w:rPr>
        <w:t>º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>.</w:t>
      </w:r>
    </w:p>
    <w:p w:rsidR="00CD159C" w:rsidRPr="00521B10" w:rsidRDefault="00CD159C" w:rsidP="00CD159C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Parágrafo Único </w:t>
      </w:r>
      <w:r w:rsidR="00521B10" w:rsidRPr="00521B10">
        <w:rPr>
          <w:rFonts w:ascii="Arial" w:hAnsi="Arial" w:cs="Arial"/>
          <w:sz w:val="24"/>
          <w:szCs w:val="24"/>
          <w:lang w:eastAsia="pt-BR"/>
        </w:rPr>
        <w:t xml:space="preserve">Fica assegurado ao Câmpus do Médio Araguaia Dom Pedro </w:t>
      </w:r>
      <w:proofErr w:type="spellStart"/>
      <w:r w:rsidR="00521B10" w:rsidRPr="00521B10">
        <w:rPr>
          <w:rFonts w:ascii="Arial" w:hAnsi="Arial" w:cs="Arial"/>
          <w:sz w:val="24"/>
          <w:szCs w:val="24"/>
          <w:lang w:eastAsia="pt-BR"/>
        </w:rPr>
        <w:t>Casaldáliga</w:t>
      </w:r>
      <w:proofErr w:type="spellEnd"/>
      <w:r w:rsidR="00521B10" w:rsidRPr="00521B10">
        <w:rPr>
          <w:rFonts w:ascii="Arial" w:hAnsi="Arial" w:cs="Arial"/>
          <w:sz w:val="24"/>
          <w:szCs w:val="24"/>
          <w:lang w:eastAsia="pt-BR"/>
        </w:rPr>
        <w:t xml:space="preserve"> e do Câmpus Universitário Vale do Teles Pires uma porcentagem fixa de 2,0% (dois por cento) do teto orçamentário para Investimentos (GND4)</w:t>
      </w:r>
    </w:p>
    <w:p w:rsidR="00CD159C" w:rsidRDefault="00CD159C" w:rsidP="00CD159C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CD159C" w:rsidRPr="00CD159C" w:rsidRDefault="00454C25" w:rsidP="00CD159C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1</w:t>
      </w:r>
      <w:r w:rsidR="00797422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 w:rsidR="00CD159C"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º 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 xml:space="preserve">Caberá ao CONSUNI, a qualquer momento, rever tantos as dimensões analisadas, </w:t>
      </w:r>
      <w:r w:rsidR="00CD159C" w:rsidRPr="00835E1E">
        <w:rPr>
          <w:rFonts w:ascii="Arial" w:hAnsi="Arial" w:cs="Arial"/>
          <w:sz w:val="24"/>
          <w:szCs w:val="24"/>
          <w:lang w:eastAsia="pt-BR"/>
        </w:rPr>
        <w:t>porcentagens destinadas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 xml:space="preserve"> e os pesos de cada uma delas.</w:t>
      </w:r>
    </w:p>
    <w:p w:rsidR="00CD159C" w:rsidRDefault="00CD159C" w:rsidP="00CD159C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CD159C" w:rsidRPr="00CD159C" w:rsidRDefault="00797422" w:rsidP="00CD159C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12</w:t>
      </w:r>
      <w:r w:rsidR="00CD159C"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º 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>Danos às estruturas físicas de grande porte, após a avaliação da equipe de engenharia da PRPTI ou empresa contratada, serão custeados pelo orçamento da Reitoria.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CD159C" w:rsidP="00CD159C">
      <w:pPr>
        <w:pStyle w:val="SemEspaamento"/>
        <w:jc w:val="center"/>
        <w:rPr>
          <w:rFonts w:ascii="Arial" w:hAnsi="Arial" w:cs="Arial"/>
          <w:b/>
          <w:bCs/>
          <w:kern w:val="36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kern w:val="36"/>
          <w:sz w:val="24"/>
          <w:szCs w:val="24"/>
          <w:lang w:eastAsia="pt-BR"/>
        </w:rPr>
        <w:t>CAPÍTULO III</w:t>
      </w:r>
    </w:p>
    <w:p w:rsidR="00CD159C" w:rsidRDefault="00CD159C" w:rsidP="00CD159C">
      <w:pPr>
        <w:pStyle w:val="SemEspaamen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sz w:val="24"/>
          <w:szCs w:val="24"/>
          <w:lang w:eastAsia="pt-BR"/>
        </w:rPr>
        <w:t>PLANO DE TRABALHO ANUAL</w:t>
      </w:r>
    </w:p>
    <w:p w:rsidR="00CD159C" w:rsidRPr="00855CCD" w:rsidRDefault="00CD159C" w:rsidP="00CD159C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CD159C" w:rsidRPr="00855CCD" w:rsidRDefault="00797422" w:rsidP="00CD159C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13</w:t>
      </w:r>
      <w:r w:rsidR="00CD159C" w:rsidRPr="00855CCD">
        <w:rPr>
          <w:rFonts w:ascii="Arial" w:hAnsi="Arial" w:cs="Arial"/>
          <w:b/>
          <w:bCs/>
          <w:sz w:val="24"/>
          <w:szCs w:val="24"/>
          <w:lang w:eastAsia="pt-BR"/>
        </w:rPr>
        <w:t xml:space="preserve">º </w:t>
      </w:r>
      <w:r w:rsidR="00CD159C" w:rsidRPr="00855CCD">
        <w:rPr>
          <w:rFonts w:ascii="Arial" w:hAnsi="Arial" w:cs="Arial"/>
          <w:bCs/>
          <w:sz w:val="24"/>
          <w:szCs w:val="24"/>
          <w:lang w:eastAsia="pt-BR"/>
        </w:rPr>
        <w:t>Para fins de resolução, o Plano de Trabalho Anual (PTA)</w:t>
      </w:r>
      <w:r w:rsidR="00855CCD" w:rsidRPr="00855CCD">
        <w:rPr>
          <w:rFonts w:ascii="Arial" w:hAnsi="Arial" w:cs="Arial"/>
          <w:sz w:val="24"/>
          <w:szCs w:val="24"/>
        </w:rPr>
        <w:t xml:space="preserve"> é um instrumento de planejamento de curto prazo que cumpre importante papel no ciclo da gestão pública do Campus.</w:t>
      </w:r>
    </w:p>
    <w:p w:rsidR="00855CCD" w:rsidRPr="00855CCD" w:rsidRDefault="00855CCD" w:rsidP="00CD159C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855CCD">
        <w:rPr>
          <w:rFonts w:ascii="Arial" w:hAnsi="Arial" w:cs="Arial"/>
          <w:b/>
          <w:bCs/>
          <w:sz w:val="24"/>
          <w:szCs w:val="24"/>
          <w:lang w:eastAsia="pt-BR"/>
        </w:rPr>
        <w:t>Parágrafo Único</w:t>
      </w:r>
      <w:r w:rsidRPr="00855CCD">
        <w:rPr>
          <w:rFonts w:ascii="Arial" w:hAnsi="Arial" w:cs="Arial"/>
          <w:sz w:val="24"/>
          <w:szCs w:val="24"/>
        </w:rPr>
        <w:t xml:space="preserve"> O PTA é um instrumento gerencial que permite detalhar as ações, identificando entregas, responsáveis, prazos, etapas de trabalho e insumos. Assim, ele organiza a atuação do Campus nos níveis tático e operacional e possibilita o monitoramento. Consequentemente, o PTA também auxilia na tomada de decisão sobre a alocação de recursos públicos (orçamentário-financeiros, infraestrutura física, insumos, etc.), tanto na formulação do instrumento quanto durante a execução.</w:t>
      </w:r>
    </w:p>
    <w:p w:rsidR="00855CCD" w:rsidRDefault="00855CCD" w:rsidP="00855CC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55CCD" w:rsidRDefault="00797422" w:rsidP="00855CCD">
      <w:pPr>
        <w:pStyle w:val="SemEspaamento"/>
        <w:ind w:firstLine="708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14</w:t>
      </w:r>
      <w:r w:rsidR="00855CCD" w:rsidRPr="00855CCD">
        <w:rPr>
          <w:rFonts w:ascii="Arial" w:hAnsi="Arial" w:cs="Arial"/>
          <w:b/>
          <w:bCs/>
          <w:sz w:val="24"/>
          <w:szCs w:val="24"/>
          <w:lang w:eastAsia="pt-BR"/>
        </w:rPr>
        <w:t>º</w:t>
      </w:r>
      <w:r w:rsidR="00855CCD">
        <w:rPr>
          <w:rFonts w:ascii="Arial" w:hAnsi="Arial" w:cs="Arial"/>
          <w:bCs/>
          <w:sz w:val="24"/>
          <w:szCs w:val="24"/>
          <w:lang w:eastAsia="pt-BR"/>
        </w:rPr>
        <w:t xml:space="preserve"> O PTA do Câmpus deverá ser discutido de forma participativa com a comunidade acadêmica.</w:t>
      </w:r>
    </w:p>
    <w:p w:rsidR="00855CCD" w:rsidRDefault="00855CCD" w:rsidP="00855CCD">
      <w:pPr>
        <w:pStyle w:val="SemEspaamento"/>
        <w:ind w:firstLine="708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DD20E8">
        <w:rPr>
          <w:rFonts w:ascii="Arial" w:hAnsi="Arial" w:cs="Arial"/>
          <w:b/>
          <w:bCs/>
          <w:sz w:val="24"/>
          <w:szCs w:val="24"/>
          <w:lang w:eastAsia="pt-BR"/>
        </w:rPr>
        <w:t xml:space="preserve">Parágrafo Único </w:t>
      </w:r>
      <w:r w:rsidRPr="00DD20E8">
        <w:rPr>
          <w:rFonts w:ascii="Arial" w:hAnsi="Arial" w:cs="Arial"/>
          <w:bCs/>
          <w:sz w:val="24"/>
          <w:szCs w:val="24"/>
          <w:lang w:eastAsia="pt-BR"/>
        </w:rPr>
        <w:t>A metodologia de planejamento participativo é livre para cada Campus.</w:t>
      </w:r>
    </w:p>
    <w:p w:rsidR="00855CCD" w:rsidRDefault="00855CCD" w:rsidP="00855CCD">
      <w:pPr>
        <w:pStyle w:val="SemEspaamento"/>
        <w:ind w:firstLine="708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:rsidR="00855CCD" w:rsidRDefault="00797422" w:rsidP="00855CCD">
      <w:pPr>
        <w:pStyle w:val="SemEspaamento"/>
        <w:ind w:firstLine="708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15</w:t>
      </w:r>
      <w:r w:rsidR="00855CCD" w:rsidRPr="00855CCD">
        <w:rPr>
          <w:rFonts w:ascii="Arial" w:hAnsi="Arial" w:cs="Arial"/>
          <w:b/>
          <w:bCs/>
          <w:sz w:val="24"/>
          <w:szCs w:val="24"/>
          <w:lang w:eastAsia="pt-BR"/>
        </w:rPr>
        <w:t>º</w:t>
      </w:r>
      <w:r w:rsidR="00855CCD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855CCD" w:rsidRPr="00855CCD">
        <w:rPr>
          <w:rFonts w:ascii="Arial" w:hAnsi="Arial" w:cs="Arial"/>
          <w:bCs/>
          <w:sz w:val="24"/>
          <w:szCs w:val="24"/>
          <w:lang w:eastAsia="pt-BR"/>
        </w:rPr>
        <w:t>Posteriormente a discussão</w:t>
      </w:r>
      <w:r w:rsidR="00855CCD">
        <w:rPr>
          <w:rFonts w:ascii="Arial" w:hAnsi="Arial" w:cs="Arial"/>
          <w:bCs/>
          <w:sz w:val="24"/>
          <w:szCs w:val="24"/>
          <w:lang w:eastAsia="pt-BR"/>
        </w:rPr>
        <w:t xml:space="preserve"> com a comunidade, o PTA deve ser apresentado, debatido e aprovado pelo Colegiado Regional.</w:t>
      </w:r>
    </w:p>
    <w:p w:rsidR="00DD20E8" w:rsidRDefault="00DD20E8" w:rsidP="00855CCD">
      <w:pPr>
        <w:pStyle w:val="SemEspaamento"/>
        <w:ind w:firstLine="708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:rsidR="00855CCD" w:rsidRPr="00855CCD" w:rsidRDefault="00797422" w:rsidP="00855CCD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16</w:t>
      </w:r>
      <w:r w:rsidR="00855CCD" w:rsidRPr="00855CCD">
        <w:rPr>
          <w:rFonts w:ascii="Arial" w:hAnsi="Arial" w:cs="Arial"/>
          <w:b/>
          <w:bCs/>
          <w:sz w:val="24"/>
          <w:szCs w:val="24"/>
          <w:lang w:eastAsia="pt-BR"/>
        </w:rPr>
        <w:t>º</w:t>
      </w:r>
      <w:r w:rsidR="00855CCD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855CCD" w:rsidRPr="00855CCD">
        <w:rPr>
          <w:rFonts w:ascii="Arial" w:hAnsi="Arial" w:cs="Arial"/>
          <w:bCs/>
          <w:sz w:val="24"/>
          <w:szCs w:val="24"/>
          <w:lang w:eastAsia="pt-BR"/>
        </w:rPr>
        <w:t>Nos meses de maio, setembro e dezembro</w:t>
      </w:r>
      <w:r w:rsidR="00DD20E8">
        <w:rPr>
          <w:rFonts w:ascii="Arial" w:hAnsi="Arial" w:cs="Arial"/>
          <w:bCs/>
          <w:sz w:val="24"/>
          <w:szCs w:val="24"/>
          <w:lang w:eastAsia="pt-BR"/>
        </w:rPr>
        <w:t xml:space="preserve"> de cada ano corrente</w:t>
      </w:r>
      <w:r w:rsidR="00855CCD" w:rsidRPr="00855CCD">
        <w:rPr>
          <w:rFonts w:ascii="Arial" w:hAnsi="Arial" w:cs="Arial"/>
          <w:bCs/>
          <w:sz w:val="24"/>
          <w:szCs w:val="24"/>
          <w:lang w:eastAsia="pt-BR"/>
        </w:rPr>
        <w:t>, a Direção do Campus deverá apresentar o relatório de gestão orçamentária e financeira para a aprovação do Colegiado Regional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CD159C" w:rsidP="00855CCD">
      <w:pPr>
        <w:pStyle w:val="SemEspaamento"/>
        <w:jc w:val="center"/>
        <w:rPr>
          <w:rFonts w:ascii="Arial" w:hAnsi="Arial" w:cs="Arial"/>
          <w:b/>
          <w:bCs/>
          <w:kern w:val="36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kern w:val="36"/>
          <w:sz w:val="24"/>
          <w:szCs w:val="24"/>
          <w:lang w:eastAsia="pt-BR"/>
        </w:rPr>
        <w:t>CAPÍTULO IV DISPOSIÇÕES TRANSITÓRIAS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797422" w:rsidP="00855CCD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17</w:t>
      </w:r>
      <w:r w:rsidR="00CD159C"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>No caso dos Câmpus que possuam cursos de oferta contínua sendo transferidos para outra localidade, o montante de recursos destinado à manutenção desses cursos será alocado, no Câmpus de destino, na mesma proporção de transferência desses cursos para o Câmpus de destino.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797422" w:rsidP="00855CCD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18</w:t>
      </w:r>
      <w:r w:rsidR="00CD159C"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>Esta Resolução entra em vigor na data de sua publicação</w:t>
      </w:r>
      <w:r w:rsidR="00835E1E">
        <w:rPr>
          <w:rFonts w:ascii="Arial" w:hAnsi="Arial" w:cs="Arial"/>
          <w:sz w:val="24"/>
          <w:szCs w:val="24"/>
          <w:lang w:eastAsia="pt-BR"/>
        </w:rPr>
        <w:t xml:space="preserve"> e será utilizada para a elaboração dos repasses do ano corrente de 2022 em diante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797422" w:rsidP="00855CCD">
      <w:pPr>
        <w:pStyle w:val="SemEspaamen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19</w:t>
      </w:r>
      <w:r w:rsidR="00CD159C" w:rsidRPr="00CD159C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CD159C" w:rsidRPr="00CD159C">
        <w:rPr>
          <w:rFonts w:ascii="Arial" w:hAnsi="Arial" w:cs="Arial"/>
          <w:sz w:val="24"/>
          <w:szCs w:val="24"/>
          <w:lang w:eastAsia="pt-BR"/>
        </w:rPr>
        <w:t>Revogam-se as disposições em contrário.</w:t>
      </w:r>
    </w:p>
    <w:p w:rsidR="00CD159C" w:rsidRPr="00CD159C" w:rsidRDefault="00CD159C" w:rsidP="00CD159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CD159C" w:rsidP="00855CCD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sz w:val="24"/>
          <w:szCs w:val="24"/>
          <w:lang w:eastAsia="pt-BR"/>
        </w:rPr>
        <w:t xml:space="preserve">Sala das Sessões do Conselho Universitário da Universidade do Estado de Mato Grosso, em Cáceres/MT, </w:t>
      </w:r>
      <w:r w:rsidR="00835E1E">
        <w:rPr>
          <w:rFonts w:ascii="Arial" w:hAnsi="Arial" w:cs="Arial"/>
          <w:sz w:val="24"/>
          <w:szCs w:val="24"/>
          <w:lang w:eastAsia="pt-BR"/>
        </w:rPr>
        <w:t>XX e XY de março de 2021</w:t>
      </w:r>
      <w:r w:rsidRPr="00CD159C">
        <w:rPr>
          <w:rFonts w:ascii="Arial" w:hAnsi="Arial" w:cs="Arial"/>
          <w:sz w:val="24"/>
          <w:szCs w:val="24"/>
          <w:lang w:eastAsia="pt-BR"/>
        </w:rPr>
        <w:t>.</w:t>
      </w:r>
    </w:p>
    <w:p w:rsidR="00CD159C" w:rsidRPr="00CD159C" w:rsidRDefault="00CD159C" w:rsidP="00855CCD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D159C" w:rsidRPr="00CD159C" w:rsidRDefault="00CD159C" w:rsidP="00855CCD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>Prof. Dr. Rodrigo Bruno Zanin</w:t>
      </w:r>
    </w:p>
    <w:p w:rsidR="00CD159C" w:rsidRPr="00CD159C" w:rsidRDefault="00CD159C" w:rsidP="00855CCD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  <w:r w:rsidRPr="00CD159C">
        <w:rPr>
          <w:rFonts w:ascii="Arial" w:hAnsi="Arial" w:cs="Arial"/>
          <w:sz w:val="24"/>
          <w:szCs w:val="24"/>
          <w:lang w:eastAsia="pt-BR"/>
        </w:rPr>
        <w:t>Presidente do CONSUNI</w:t>
      </w:r>
    </w:p>
    <w:p w:rsidR="00D47B09" w:rsidRPr="00CD159C" w:rsidRDefault="00D47B09" w:rsidP="00CD159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D47B09" w:rsidRPr="00CD1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1FC"/>
    <w:multiLevelType w:val="hybridMultilevel"/>
    <w:tmpl w:val="80108328"/>
    <w:lvl w:ilvl="0" w:tplc="A678CC2E">
      <w:start w:val="1"/>
      <w:numFmt w:val="upperRoman"/>
      <w:lvlText w:val="%1."/>
      <w:lvlJc w:val="left"/>
      <w:pPr>
        <w:ind w:left="832" w:hanging="72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1A253D2F"/>
    <w:multiLevelType w:val="hybridMultilevel"/>
    <w:tmpl w:val="8F841ED2"/>
    <w:lvl w:ilvl="0" w:tplc="8C946DE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F281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29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AD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CB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A9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67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C1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4E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8556A"/>
    <w:multiLevelType w:val="hybridMultilevel"/>
    <w:tmpl w:val="1534EAA8"/>
    <w:lvl w:ilvl="0" w:tplc="4FB09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256"/>
    <w:multiLevelType w:val="multilevel"/>
    <w:tmpl w:val="39DE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D1E00"/>
    <w:multiLevelType w:val="hybridMultilevel"/>
    <w:tmpl w:val="1952D632"/>
    <w:lvl w:ilvl="0" w:tplc="D10E9C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223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E8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61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26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0C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03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6A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87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E6387"/>
    <w:multiLevelType w:val="hybridMultilevel"/>
    <w:tmpl w:val="8DD0DAA8"/>
    <w:lvl w:ilvl="0" w:tplc="BC188DD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D7C4C"/>
    <w:multiLevelType w:val="multilevel"/>
    <w:tmpl w:val="985E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46128E"/>
    <w:multiLevelType w:val="multilevel"/>
    <w:tmpl w:val="7150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&gt;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244DD"/>
    <w:multiLevelType w:val="hybridMultilevel"/>
    <w:tmpl w:val="1C1CBF5A"/>
    <w:lvl w:ilvl="0" w:tplc="3754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216D5"/>
    <w:multiLevelType w:val="hybridMultilevel"/>
    <w:tmpl w:val="E0D0331A"/>
    <w:lvl w:ilvl="0" w:tplc="6FD0E22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1"/>
    <w:lvlOverride w:ilvl="0">
      <w:lvl w:ilvl="0" w:tplc="8C946DE8">
        <w:numFmt w:val="upperRoman"/>
        <w:lvlText w:val="%1."/>
        <w:lvlJc w:val="right"/>
      </w:lvl>
    </w:lvlOverride>
  </w:num>
  <w:num w:numId="6">
    <w:abstractNumId w:val="3"/>
    <w:lvlOverride w:ilvl="0">
      <w:lvl w:ilvl="0">
        <w:numFmt w:val="upperRoman"/>
        <w:lvlText w:val="%1."/>
        <w:lvlJc w:val="right"/>
      </w:lvl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9C"/>
    <w:rsid w:val="00025041"/>
    <w:rsid w:val="003715D9"/>
    <w:rsid w:val="00454C25"/>
    <w:rsid w:val="00482DDE"/>
    <w:rsid w:val="00521B10"/>
    <w:rsid w:val="00797422"/>
    <w:rsid w:val="007E30A0"/>
    <w:rsid w:val="007E7EF5"/>
    <w:rsid w:val="00835E1E"/>
    <w:rsid w:val="00855CCD"/>
    <w:rsid w:val="008C03F2"/>
    <w:rsid w:val="00904589"/>
    <w:rsid w:val="009733BB"/>
    <w:rsid w:val="00CD159C"/>
    <w:rsid w:val="00D47B09"/>
    <w:rsid w:val="00D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82C6-08B9-4229-BDFB-D5FD147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1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15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D159C"/>
    <w:pPr>
      <w:ind w:left="720"/>
      <w:contextualSpacing/>
    </w:pPr>
  </w:style>
  <w:style w:type="paragraph" w:styleId="SemEspaamento">
    <w:name w:val="No Spacing"/>
    <w:uiPriority w:val="1"/>
    <w:qFormat/>
    <w:rsid w:val="00CD159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CALDEIRA RIBEIRO</dc:creator>
  <cp:keywords/>
  <dc:description/>
  <cp:lastModifiedBy>CRISTHIANE SANTANA DE SOUZA</cp:lastModifiedBy>
  <cp:revision>4</cp:revision>
  <cp:lastPrinted>2021-06-30T19:37:00Z</cp:lastPrinted>
  <dcterms:created xsi:type="dcterms:W3CDTF">2021-02-25T22:38:00Z</dcterms:created>
  <dcterms:modified xsi:type="dcterms:W3CDTF">2021-06-30T19:37:00Z</dcterms:modified>
</cp:coreProperties>
</file>