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E1" w:rsidRDefault="00A218E1" w:rsidP="00A218E1">
      <w:pPr>
        <w:pStyle w:val="Ttulo1"/>
        <w:jc w:val="center"/>
      </w:pPr>
      <w:r w:rsidRPr="00587A30">
        <w:t xml:space="preserve">ANEXO </w:t>
      </w:r>
      <w:proofErr w:type="gramStart"/>
      <w:r w:rsidRPr="00587A30">
        <w:t>3</w:t>
      </w:r>
      <w:proofErr w:type="gramEnd"/>
    </w:p>
    <w:p w:rsidR="00A218E1" w:rsidRPr="00587A30" w:rsidRDefault="00A218E1" w:rsidP="00A218E1">
      <w:pPr>
        <w:pStyle w:val="Ttulo1"/>
        <w:jc w:val="center"/>
      </w:pPr>
      <w:r w:rsidRPr="00587A30">
        <w:t>M</w:t>
      </w:r>
      <w:r>
        <w:t>INUTA DO REGIMENTO DO CEPEC</w:t>
      </w:r>
    </w:p>
    <w:p w:rsidR="00A218E1" w:rsidRPr="00587A30" w:rsidRDefault="00A218E1" w:rsidP="00A218E1">
      <w:pPr>
        <w:pStyle w:val="Ttulo1"/>
        <w:jc w:val="center"/>
      </w:pP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Título I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Da Natureza, Sede, Definições e Objetivos</w:t>
      </w:r>
    </w:p>
    <w:p w:rsidR="00A218E1" w:rsidRPr="00587A30" w:rsidRDefault="00A218E1" w:rsidP="00A218E1">
      <w:pPr>
        <w:pStyle w:val="SemEspaamento"/>
        <w:spacing w:after="120"/>
        <w:rPr>
          <w:rFonts w:ascii="Cambria" w:hAnsi="Cambria" w:cs="Calibri"/>
        </w:rPr>
      </w:pP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1º O Centro de Ensino, Pesquisa, Extensão e Cultura da </w:t>
      </w:r>
      <w:proofErr w:type="spellStart"/>
      <w:r w:rsidRPr="00587A30">
        <w:rPr>
          <w:rFonts w:ascii="Cambria" w:hAnsi="Cambria" w:cs="Calibri"/>
        </w:rPr>
        <w:t>Unemat</w:t>
      </w:r>
      <w:proofErr w:type="spellEnd"/>
      <w:r w:rsidRPr="00587A30">
        <w:rPr>
          <w:rFonts w:ascii="Cambria" w:hAnsi="Cambria" w:cs="Calibri"/>
        </w:rPr>
        <w:t xml:space="preserve">/ Campus de </w:t>
      </w:r>
      <w:proofErr w:type="spellStart"/>
      <w:r w:rsidRPr="00587A30">
        <w:rPr>
          <w:rFonts w:ascii="Cambria" w:hAnsi="Cambria" w:cs="Calibri"/>
        </w:rPr>
        <w:t>Sinop</w:t>
      </w:r>
      <w:proofErr w:type="spellEnd"/>
      <w:r w:rsidRPr="00587A30">
        <w:rPr>
          <w:rFonts w:ascii="Cambria" w:hAnsi="Cambria" w:cs="Calibri"/>
        </w:rPr>
        <w:t>, doravante designado CEPEC/SINOP</w:t>
      </w:r>
      <w:r>
        <w:rPr>
          <w:rFonts w:ascii="Cambria" w:hAnsi="Cambria" w:cs="Calibri"/>
        </w:rPr>
        <w:t xml:space="preserve"> é</w:t>
      </w:r>
      <w:proofErr w:type="gramStart"/>
      <w:r>
        <w:rPr>
          <w:rFonts w:ascii="Cambria" w:hAnsi="Cambria" w:cs="Calibri"/>
        </w:rPr>
        <w:t xml:space="preserve"> </w:t>
      </w:r>
      <w:r w:rsidRPr="00587A30">
        <w:rPr>
          <w:rFonts w:ascii="Cambria" w:hAnsi="Cambria" w:cs="Calibri"/>
        </w:rPr>
        <w:t xml:space="preserve"> </w:t>
      </w:r>
      <w:proofErr w:type="gramEnd"/>
      <w:r w:rsidRPr="00587A30">
        <w:rPr>
          <w:rFonts w:ascii="Cambria" w:hAnsi="Cambria" w:cs="Calibri"/>
        </w:rPr>
        <w:t xml:space="preserve">vinculado administrativamente à Diretoria Política, Pedagógica, Financeira do Campus de </w:t>
      </w:r>
      <w:proofErr w:type="spellStart"/>
      <w:r w:rsidRPr="00587A30">
        <w:rPr>
          <w:rFonts w:ascii="Cambria" w:hAnsi="Cambria" w:cs="Calibri"/>
        </w:rPr>
        <w:t>Sinop</w:t>
      </w:r>
      <w:proofErr w:type="spellEnd"/>
      <w:r w:rsidRPr="00587A30">
        <w:rPr>
          <w:rFonts w:ascii="Cambria" w:hAnsi="Cambria" w:cs="Calibri"/>
        </w:rPr>
        <w:t xml:space="preserve">, sediado na Av. dos Ingás 3001, Centro, no bloco  Casa Brasil da </w:t>
      </w:r>
      <w:proofErr w:type="spellStart"/>
      <w:r w:rsidRPr="00587A30">
        <w:rPr>
          <w:rFonts w:ascii="Cambria" w:hAnsi="Cambria" w:cs="Calibri"/>
        </w:rPr>
        <w:t>Unemat</w:t>
      </w:r>
      <w:proofErr w:type="spellEnd"/>
      <w:r w:rsidRPr="00587A30">
        <w:rPr>
          <w:rFonts w:ascii="Cambria" w:hAnsi="Cambria" w:cs="Calibri"/>
        </w:rPr>
        <w:t>/</w:t>
      </w:r>
      <w:proofErr w:type="spellStart"/>
      <w:r w:rsidRPr="00587A30">
        <w:rPr>
          <w:rFonts w:ascii="Cambria" w:hAnsi="Cambria" w:cs="Calibri"/>
        </w:rPr>
        <w:t>Sinop</w:t>
      </w:r>
      <w:proofErr w:type="spellEnd"/>
      <w:r w:rsidRPr="00587A30">
        <w:rPr>
          <w:rFonts w:ascii="Cambria" w:hAnsi="Cambria" w:cs="Calibri"/>
        </w:rPr>
        <w:t>, e pedagogicamente vinculado às Pró-Reitorias relacionadas ao Ensino, Pesquisa e Extensão.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 xml:space="preserve">Parágrafo Único: O Centro compreende uma estrutura física, organizacional, de recursos humanos e agrega Grupos de Pesquisa, Núcleos, coleções científicas, programas, projetos de Ensino, Pesquisa e Extensão do campus de </w:t>
      </w:r>
      <w:proofErr w:type="spellStart"/>
      <w:r w:rsidRPr="00587A30">
        <w:rPr>
          <w:rFonts w:ascii="Cambria" w:hAnsi="Cambria" w:cs="Calibri"/>
        </w:rPr>
        <w:t>Sinop</w:t>
      </w:r>
      <w:proofErr w:type="spellEnd"/>
      <w:r w:rsidRPr="00587A30">
        <w:rPr>
          <w:rFonts w:ascii="Cambria" w:hAnsi="Cambria" w:cs="Calibri"/>
        </w:rPr>
        <w:t>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2ª O CEPEC/SINOP reconhece e submete-se à Resolução 081/2008 do </w:t>
      </w:r>
      <w:proofErr w:type="spellStart"/>
      <w:r w:rsidRPr="00587A30">
        <w:rPr>
          <w:rFonts w:ascii="Cambria" w:hAnsi="Cambria" w:cs="Calibri"/>
        </w:rPr>
        <w:t>Conepe</w:t>
      </w:r>
      <w:proofErr w:type="spellEnd"/>
      <w:r w:rsidRPr="00587A30">
        <w:rPr>
          <w:rFonts w:ascii="Cambria" w:hAnsi="Cambria" w:cs="Calibri"/>
        </w:rPr>
        <w:t xml:space="preserve"> e </w:t>
      </w:r>
      <w:proofErr w:type="gramStart"/>
      <w:r w:rsidRPr="00587A30">
        <w:rPr>
          <w:rFonts w:ascii="Cambria" w:hAnsi="Cambria" w:cs="Calibri"/>
        </w:rPr>
        <w:t>sua alterações</w:t>
      </w:r>
      <w:proofErr w:type="gramEnd"/>
      <w:r w:rsidRPr="00587A30">
        <w:rPr>
          <w:rFonts w:ascii="Cambria" w:hAnsi="Cambria" w:cs="Calibri"/>
        </w:rPr>
        <w:t xml:space="preserve">, bem como às demais normas que se referem aos centros de Ensino, Pesquisa e Extensão da </w:t>
      </w:r>
      <w:proofErr w:type="spellStart"/>
      <w:r w:rsidRPr="00587A30">
        <w:rPr>
          <w:rFonts w:ascii="Cambria" w:hAnsi="Cambria" w:cs="Calibri"/>
        </w:rPr>
        <w:t>Unemat</w:t>
      </w:r>
      <w:proofErr w:type="spellEnd"/>
      <w:r w:rsidRPr="00587A30">
        <w:rPr>
          <w:rFonts w:ascii="Cambria" w:hAnsi="Cambria" w:cs="Calibri"/>
        </w:rPr>
        <w:t>, além da Legislação estadual e Federal que trate do assunto.</w:t>
      </w:r>
    </w:p>
    <w:p w:rsidR="00A218E1" w:rsidRPr="00587A30" w:rsidRDefault="00A218E1" w:rsidP="00A218E1">
      <w:pPr>
        <w:pStyle w:val="SemEspaamento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3º Compete ao CEPEC/SINOP:</w:t>
      </w:r>
    </w:p>
    <w:p w:rsidR="00A218E1" w:rsidRPr="00587A30" w:rsidRDefault="00A218E1" w:rsidP="00A218E1">
      <w:pPr>
        <w:pStyle w:val="SemEspaamento"/>
        <w:numPr>
          <w:ilvl w:val="0"/>
          <w:numId w:val="1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Contribuir para a formação do profissional cidadão comprometido com a transformação da sociedade;</w:t>
      </w:r>
    </w:p>
    <w:p w:rsidR="00A218E1" w:rsidRPr="00587A30" w:rsidRDefault="00A218E1" w:rsidP="00A218E1">
      <w:pPr>
        <w:pStyle w:val="SemEspaamento"/>
        <w:numPr>
          <w:ilvl w:val="0"/>
          <w:numId w:val="1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Promover ações que favoreçam a integração universidade/sociedade;</w:t>
      </w:r>
    </w:p>
    <w:p w:rsidR="00A218E1" w:rsidRPr="00587A30" w:rsidRDefault="00A218E1" w:rsidP="00A218E1">
      <w:pPr>
        <w:pStyle w:val="SemEspaamento"/>
        <w:numPr>
          <w:ilvl w:val="0"/>
          <w:numId w:val="1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Apoiar projetos comprometidos com o desenvolvimento regional e local;</w:t>
      </w:r>
    </w:p>
    <w:p w:rsidR="00A218E1" w:rsidRPr="00587A30" w:rsidRDefault="00A218E1" w:rsidP="00A218E1">
      <w:pPr>
        <w:pStyle w:val="SemEspaamento"/>
        <w:numPr>
          <w:ilvl w:val="0"/>
          <w:numId w:val="1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Intensificar parcerias para a realização das ações;</w:t>
      </w:r>
    </w:p>
    <w:p w:rsidR="00A218E1" w:rsidRPr="00587A30" w:rsidRDefault="00A218E1" w:rsidP="00A218E1">
      <w:pPr>
        <w:pStyle w:val="SemEspaamento"/>
        <w:numPr>
          <w:ilvl w:val="0"/>
          <w:numId w:val="1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Estabelecer redes de intercâmbio com centros, núcleos de extensão ou instituições afins;</w:t>
      </w:r>
    </w:p>
    <w:p w:rsidR="00A218E1" w:rsidRPr="00587A30" w:rsidRDefault="00A218E1" w:rsidP="00A218E1">
      <w:pPr>
        <w:pStyle w:val="SemEspaamento"/>
        <w:numPr>
          <w:ilvl w:val="0"/>
          <w:numId w:val="1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 xml:space="preserve">Criar uma </w:t>
      </w:r>
      <w:proofErr w:type="spellStart"/>
      <w:r w:rsidRPr="00587A30">
        <w:rPr>
          <w:rFonts w:ascii="Cambria" w:hAnsi="Cambria" w:cs="Calibri"/>
        </w:rPr>
        <w:t>infraestrutura</w:t>
      </w:r>
      <w:proofErr w:type="spellEnd"/>
      <w:r w:rsidRPr="00587A30">
        <w:rPr>
          <w:rFonts w:ascii="Cambria" w:hAnsi="Cambria" w:cs="Calibri"/>
        </w:rPr>
        <w:t xml:space="preserve"> que possa dar suporte aos programas e projetos de extensão;</w:t>
      </w:r>
    </w:p>
    <w:p w:rsidR="00A218E1" w:rsidRPr="00587A30" w:rsidRDefault="00A218E1" w:rsidP="00A218E1">
      <w:pPr>
        <w:pStyle w:val="SemEspaamento"/>
        <w:numPr>
          <w:ilvl w:val="0"/>
          <w:numId w:val="1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Fomentar atividades culturais de alcance local e regional, bem como o resgate de memórias sociais como patrimônio;</w:t>
      </w:r>
    </w:p>
    <w:p w:rsidR="00A218E1" w:rsidRPr="00587A30" w:rsidRDefault="00A218E1" w:rsidP="00A218E1">
      <w:pPr>
        <w:pStyle w:val="SemEspaamento"/>
        <w:spacing w:after="120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4º O objetivo geral do CEPEC/SINOP é proporcionar uma estrutura física e de recursos humanos para apoiar as atividades, eventos, serviços e cursos de extensão que são realizados no Campus de </w:t>
      </w:r>
      <w:proofErr w:type="spellStart"/>
      <w:r w:rsidRPr="00587A30">
        <w:rPr>
          <w:rFonts w:ascii="Cambria" w:hAnsi="Cambria" w:cs="Calibri"/>
        </w:rPr>
        <w:t>Sinop</w:t>
      </w:r>
      <w:proofErr w:type="spellEnd"/>
      <w:r w:rsidRPr="00587A30">
        <w:rPr>
          <w:rFonts w:ascii="Cambria" w:hAnsi="Cambria" w:cs="Calibri"/>
        </w:rPr>
        <w:t xml:space="preserve">, visando também unificar o atendimento à comunidade acadêmica e externa, além de fomentar e organizar projetos, ações de ensino, pesquisa e extensão, podendo agregar as diferentes áreas de conhecimento, ser de caráter </w:t>
      </w:r>
      <w:proofErr w:type="spellStart"/>
      <w:r w:rsidRPr="00587A30">
        <w:rPr>
          <w:rFonts w:ascii="Cambria" w:hAnsi="Cambria" w:cs="Calibri"/>
        </w:rPr>
        <w:t>multi</w:t>
      </w:r>
      <w:proofErr w:type="spellEnd"/>
      <w:r w:rsidRPr="00587A30">
        <w:rPr>
          <w:rFonts w:ascii="Cambria" w:hAnsi="Cambria" w:cs="Calibri"/>
        </w:rPr>
        <w:t xml:space="preserve">, inter e </w:t>
      </w:r>
      <w:proofErr w:type="spellStart"/>
      <w:r w:rsidRPr="00587A30">
        <w:rPr>
          <w:rFonts w:ascii="Cambria" w:hAnsi="Cambria" w:cs="Calibri"/>
        </w:rPr>
        <w:t>transdisciplinar</w:t>
      </w:r>
      <w:proofErr w:type="spellEnd"/>
      <w:r w:rsidRPr="00587A30">
        <w:rPr>
          <w:rFonts w:ascii="Cambria" w:hAnsi="Cambria" w:cs="Calibri"/>
        </w:rPr>
        <w:t>, em âmbito regional, nacional e internacional.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Título II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Da Estrutura organizacional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center"/>
        <w:rPr>
          <w:rFonts w:ascii="Cambria" w:hAnsi="Cambria" w:cs="Calibri"/>
        </w:rPr>
      </w:pP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lastRenderedPageBreak/>
        <w:t>Art5º</w:t>
      </w:r>
      <w:proofErr w:type="gramStart"/>
      <w:r w:rsidRPr="00587A30">
        <w:rPr>
          <w:rFonts w:ascii="Cambria" w:hAnsi="Cambria" w:cs="Calibri"/>
        </w:rPr>
        <w:t xml:space="preserve">  </w:t>
      </w:r>
      <w:proofErr w:type="gramEnd"/>
      <w:r w:rsidRPr="00587A30">
        <w:rPr>
          <w:rFonts w:ascii="Cambria" w:hAnsi="Cambria" w:cs="Calibri"/>
        </w:rPr>
        <w:t>O CEPEC/SINOP será composto por professores efetivos, Profissionais Técnicos da Educação Superior e acadêmicos de Graduação e alunos de Pós-Graduação vinculados à grupos de pesquisa, núcleos e projetos institucionalizados.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Parágrafo único. Os bolsistas e demais colaboradores dos projetos também são incorporados ao CEPEC/SINOP durante o seu vínculo com o projeto.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6º A estrutura organizacional do CEC/SINOP será composta por:</w:t>
      </w:r>
    </w:p>
    <w:p w:rsidR="00A218E1" w:rsidRPr="00587A30" w:rsidRDefault="00A218E1" w:rsidP="00A218E1">
      <w:pPr>
        <w:pStyle w:val="SemEspaamento"/>
        <w:numPr>
          <w:ilvl w:val="0"/>
          <w:numId w:val="2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Conselho Superior;</w:t>
      </w:r>
    </w:p>
    <w:p w:rsidR="00A218E1" w:rsidRPr="00587A30" w:rsidRDefault="00A218E1" w:rsidP="00A218E1">
      <w:pPr>
        <w:pStyle w:val="SemEspaamento"/>
        <w:numPr>
          <w:ilvl w:val="0"/>
          <w:numId w:val="2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Coordenação Geral;</w:t>
      </w:r>
    </w:p>
    <w:p w:rsidR="00A218E1" w:rsidRPr="00587A30" w:rsidRDefault="00A218E1" w:rsidP="00A218E1">
      <w:pPr>
        <w:pStyle w:val="SemEspaamento"/>
        <w:numPr>
          <w:ilvl w:val="0"/>
          <w:numId w:val="2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Membros;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Capítulo I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Do Conselho Superior</w:t>
      </w:r>
    </w:p>
    <w:p w:rsidR="00A218E1" w:rsidRPr="00587A30" w:rsidRDefault="00A218E1" w:rsidP="00A218E1">
      <w:pPr>
        <w:rPr>
          <w:rFonts w:ascii="Cambria" w:hAnsi="Cambria" w:cs="Calibri"/>
        </w:rPr>
      </w:pP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7º O conselho Superior será integrado por líderes dos grupos de pesquisa, programas e projetos de Ensino, Pesquisa e Extensão cadastrados junto ao Centro:</w:t>
      </w:r>
    </w:p>
    <w:p w:rsidR="00A218E1" w:rsidRPr="00587A30" w:rsidRDefault="00A218E1" w:rsidP="00A218E1">
      <w:pPr>
        <w:pStyle w:val="SemEspaamento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 1º Cada grupo de pesquisa, programa e projeto de ensino, pesquisa e extensão terá apenas</w:t>
      </w:r>
      <w:proofErr w:type="gramStart"/>
      <w:r w:rsidRPr="00587A30">
        <w:rPr>
          <w:rFonts w:ascii="Cambria" w:hAnsi="Cambria" w:cs="Calibri"/>
        </w:rPr>
        <w:t xml:space="preserve">  </w:t>
      </w:r>
      <w:proofErr w:type="gramEnd"/>
      <w:r w:rsidRPr="00587A30">
        <w:rPr>
          <w:rFonts w:ascii="Cambria" w:hAnsi="Cambria" w:cs="Calibri"/>
        </w:rPr>
        <w:t>01 membro no Conselho.</w:t>
      </w:r>
    </w:p>
    <w:p w:rsidR="00A218E1" w:rsidRPr="00587A30" w:rsidRDefault="00A218E1" w:rsidP="00A218E1">
      <w:pPr>
        <w:pStyle w:val="SemEspaamento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 2º O mandato dos integrantes do Conselho Superior será de 02 anos, sendo autorizada a recondução por mandatos de igual período, sem limite de repetição.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8º Os Conselheiros elegerão o Presidente e o secretário através de votação, a qual ocorrerá na primeira reunião. 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9º As reuniões ordinárias serão mensais e a convocação deverá ser encaminhada com, pelo menos, 04 dias de antecedência.</w:t>
      </w:r>
    </w:p>
    <w:p w:rsidR="00A218E1" w:rsidRPr="00587A30" w:rsidRDefault="00A218E1" w:rsidP="00A218E1">
      <w:pPr>
        <w:pStyle w:val="SemEspaamento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§1º As reuniões extraordinárias poderão ser convocadas por um terço dos membros do conselho, para tratar de tema único e urgente que deve ser indicado na pauta na convocação;</w:t>
      </w:r>
    </w:p>
    <w:p w:rsidR="00A218E1" w:rsidRPr="00587A30" w:rsidRDefault="00A218E1" w:rsidP="00A218E1">
      <w:pPr>
        <w:pStyle w:val="SemEspaamento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§2º O quórum para a abertura de trabalhos nas reuniões</w:t>
      </w:r>
      <w:proofErr w:type="gramStart"/>
      <w:r w:rsidRPr="00587A30">
        <w:rPr>
          <w:rFonts w:ascii="Cambria" w:hAnsi="Cambria" w:cs="Calibri"/>
        </w:rPr>
        <w:t xml:space="preserve">  </w:t>
      </w:r>
      <w:proofErr w:type="gramEnd"/>
      <w:r w:rsidRPr="00587A30">
        <w:rPr>
          <w:rFonts w:ascii="Cambria" w:hAnsi="Cambria" w:cs="Calibri"/>
        </w:rPr>
        <w:t>corresponde à maioria absoluta dos membros do Conselho.</w:t>
      </w:r>
    </w:p>
    <w:p w:rsidR="00A218E1" w:rsidRPr="00587A30" w:rsidRDefault="00A218E1" w:rsidP="00A218E1">
      <w:pPr>
        <w:pStyle w:val="SemEspaamento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§3º As decisões serão tomadas pelo voto da maioria dos presentes na reunião.</w:t>
      </w:r>
    </w:p>
    <w:p w:rsidR="00A218E1" w:rsidRPr="00587A30" w:rsidRDefault="00A218E1" w:rsidP="00A218E1">
      <w:pPr>
        <w:pStyle w:val="SemEspaamento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§4º O voto do presidente somente é invocado para desempate.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10 O membro do Conselho Superior perderá o mandato nos seguintes casos:</w:t>
      </w:r>
    </w:p>
    <w:p w:rsidR="00A218E1" w:rsidRPr="00587A30" w:rsidRDefault="00A218E1" w:rsidP="00A218E1">
      <w:pPr>
        <w:pStyle w:val="SemEspaamento"/>
        <w:numPr>
          <w:ilvl w:val="0"/>
          <w:numId w:val="3"/>
        </w:numPr>
        <w:spacing w:after="120"/>
        <w:ind w:left="1776"/>
        <w:jc w:val="both"/>
        <w:rPr>
          <w:rFonts w:ascii="Cambria" w:hAnsi="Cambria" w:cs="Calibri"/>
        </w:rPr>
      </w:pPr>
      <w:proofErr w:type="gramStart"/>
      <w:r w:rsidRPr="00587A30">
        <w:rPr>
          <w:rFonts w:ascii="Cambria" w:hAnsi="Cambria" w:cs="Calibri"/>
        </w:rPr>
        <w:t>A pedido</w:t>
      </w:r>
      <w:proofErr w:type="gramEnd"/>
      <w:r w:rsidRPr="00587A30">
        <w:rPr>
          <w:rFonts w:ascii="Cambria" w:hAnsi="Cambria" w:cs="Calibri"/>
        </w:rPr>
        <w:t xml:space="preserve"> do próprio membro.</w:t>
      </w:r>
    </w:p>
    <w:p w:rsidR="00A218E1" w:rsidRPr="00587A30" w:rsidRDefault="00A218E1" w:rsidP="00A218E1">
      <w:pPr>
        <w:pStyle w:val="SemEspaamento"/>
        <w:numPr>
          <w:ilvl w:val="0"/>
          <w:numId w:val="3"/>
        </w:numPr>
        <w:spacing w:after="120"/>
        <w:ind w:left="1776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03 faltas consecutivas em reuniões ordinárias;</w:t>
      </w:r>
    </w:p>
    <w:p w:rsidR="00A218E1" w:rsidRPr="00587A30" w:rsidRDefault="00A218E1" w:rsidP="00A218E1">
      <w:pPr>
        <w:pStyle w:val="SemEspaamento"/>
        <w:numPr>
          <w:ilvl w:val="0"/>
          <w:numId w:val="3"/>
        </w:numPr>
        <w:spacing w:after="120"/>
        <w:ind w:left="1776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Licença ou afastamento superior ao período de 01 mandato;</w:t>
      </w:r>
    </w:p>
    <w:p w:rsidR="00A218E1" w:rsidRPr="00587A30" w:rsidRDefault="00A218E1" w:rsidP="00A218E1">
      <w:pPr>
        <w:pStyle w:val="SemEspaamento"/>
        <w:numPr>
          <w:ilvl w:val="0"/>
          <w:numId w:val="3"/>
        </w:numPr>
        <w:spacing w:after="120"/>
        <w:ind w:left="1776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Desligamento da instituição;</w:t>
      </w:r>
    </w:p>
    <w:p w:rsidR="00A218E1" w:rsidRPr="00587A30" w:rsidRDefault="00A218E1" w:rsidP="00A218E1">
      <w:pPr>
        <w:pStyle w:val="SemEspaamento"/>
        <w:numPr>
          <w:ilvl w:val="0"/>
          <w:numId w:val="3"/>
        </w:numPr>
        <w:spacing w:after="120"/>
        <w:ind w:left="1701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Qualquer conduta ou atividade incompatível com o serviço público, conforme legislação vigente.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11 O Conselho Superior é um órgão colegiado, com a finalidade de assessorar em deliberações e decisões sobre as políticas dos Centros, com as seguintes competências:</w:t>
      </w:r>
    </w:p>
    <w:p w:rsidR="00A218E1" w:rsidRPr="00587A30" w:rsidRDefault="00A218E1" w:rsidP="00A218E1">
      <w:pPr>
        <w:pStyle w:val="SemEspaamento"/>
        <w:numPr>
          <w:ilvl w:val="0"/>
          <w:numId w:val="9"/>
        </w:numPr>
        <w:spacing w:after="12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 xml:space="preserve">Planejar e </w:t>
      </w:r>
      <w:proofErr w:type="gramStart"/>
      <w:r w:rsidRPr="00587A30">
        <w:rPr>
          <w:rFonts w:ascii="Cambria" w:hAnsi="Cambria" w:cs="Calibri"/>
        </w:rPr>
        <w:t>implementaras</w:t>
      </w:r>
      <w:proofErr w:type="gramEnd"/>
      <w:r w:rsidRPr="00587A30">
        <w:rPr>
          <w:rFonts w:ascii="Cambria" w:hAnsi="Cambria" w:cs="Calibri"/>
        </w:rPr>
        <w:t xml:space="preserve"> ações, visando atender os objetivos definidos;</w:t>
      </w:r>
    </w:p>
    <w:p w:rsidR="00A218E1" w:rsidRPr="00587A30" w:rsidRDefault="00A218E1" w:rsidP="00A218E1">
      <w:pPr>
        <w:pStyle w:val="SemEspaamento"/>
        <w:numPr>
          <w:ilvl w:val="0"/>
          <w:numId w:val="9"/>
        </w:numPr>
        <w:spacing w:after="12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lastRenderedPageBreak/>
        <w:t>Elaborar o relatório semestral de atividades, bem como avaliar os resultados;</w:t>
      </w:r>
    </w:p>
    <w:p w:rsidR="00A218E1" w:rsidRPr="00587A30" w:rsidRDefault="00A218E1" w:rsidP="00A218E1">
      <w:pPr>
        <w:pStyle w:val="SemEspaamento"/>
        <w:numPr>
          <w:ilvl w:val="0"/>
          <w:numId w:val="9"/>
        </w:numPr>
        <w:spacing w:after="12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Encaminhar o relatório semestral às Pró-Reitorias afins;</w:t>
      </w:r>
    </w:p>
    <w:p w:rsidR="00A218E1" w:rsidRPr="00587A30" w:rsidRDefault="00A218E1" w:rsidP="00A218E1">
      <w:pPr>
        <w:pStyle w:val="SemEspaamento"/>
        <w:numPr>
          <w:ilvl w:val="0"/>
          <w:numId w:val="9"/>
        </w:numPr>
        <w:spacing w:after="12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 xml:space="preserve">Analisar e aprovar as linhas de </w:t>
      </w:r>
      <w:proofErr w:type="spellStart"/>
      <w:r w:rsidRPr="00587A30">
        <w:rPr>
          <w:rFonts w:ascii="Cambria" w:hAnsi="Cambria" w:cs="Calibri"/>
        </w:rPr>
        <w:t>atuaçãodo</w:t>
      </w:r>
      <w:proofErr w:type="spellEnd"/>
      <w:r w:rsidRPr="00587A30">
        <w:rPr>
          <w:rFonts w:ascii="Cambria" w:hAnsi="Cambria" w:cs="Calibri"/>
        </w:rPr>
        <w:t xml:space="preserve"> Centro;</w:t>
      </w:r>
    </w:p>
    <w:p w:rsidR="00A218E1" w:rsidRPr="00587A30" w:rsidRDefault="00A218E1" w:rsidP="00A218E1">
      <w:pPr>
        <w:pStyle w:val="SemEspaamento"/>
        <w:numPr>
          <w:ilvl w:val="0"/>
          <w:numId w:val="9"/>
        </w:numPr>
        <w:spacing w:after="12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Analisar e aprovar a adesão de novos Núcleos, Grupos de Pesquisa, Programas, Coleções Científicas e Projetos, bem como a exclusão dos existentes;</w:t>
      </w:r>
    </w:p>
    <w:p w:rsidR="00A218E1" w:rsidRPr="00587A30" w:rsidRDefault="00A218E1" w:rsidP="00A218E1">
      <w:pPr>
        <w:pStyle w:val="SemEspaamento"/>
        <w:numPr>
          <w:ilvl w:val="0"/>
          <w:numId w:val="9"/>
        </w:numPr>
        <w:spacing w:after="12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Propor e aprovar seu regimento interno.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pStyle w:val="Ttulo1"/>
        <w:spacing w:after="120"/>
        <w:rPr>
          <w:rFonts w:cs="Calibri"/>
        </w:rPr>
      </w:pP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Capítulo II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Da Coordenação Geral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12 A coordenação Geral é responsável pelo gerenciamento de todas as atividades e atribuições do CEPEC/SINOP, com a missão de transferir e difundir conhecimento por meio da comunidade acadêmica em ações </w:t>
      </w:r>
      <w:proofErr w:type="spellStart"/>
      <w:r w:rsidRPr="00587A30">
        <w:rPr>
          <w:rFonts w:ascii="Cambria" w:hAnsi="Cambria" w:cs="Calibri"/>
        </w:rPr>
        <w:t>extensionistas</w:t>
      </w:r>
      <w:proofErr w:type="spellEnd"/>
      <w:r w:rsidRPr="00587A30">
        <w:rPr>
          <w:rFonts w:ascii="Cambria" w:hAnsi="Cambria" w:cs="Calibri"/>
        </w:rPr>
        <w:t>, ampliando e consolidando a integração universidade-sociedade;</w:t>
      </w:r>
    </w:p>
    <w:p w:rsidR="00A218E1" w:rsidRPr="00587A30" w:rsidRDefault="00A218E1" w:rsidP="00A218E1">
      <w:pPr>
        <w:autoSpaceDE w:val="0"/>
        <w:autoSpaceDN w:val="0"/>
        <w:adjustRightInd w:val="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13. Compete ao Coordenador:</w:t>
      </w:r>
    </w:p>
    <w:p w:rsidR="00A218E1" w:rsidRPr="00587A30" w:rsidRDefault="00A218E1" w:rsidP="00A218E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1843" w:hanging="709"/>
        <w:contextualSpacing w:val="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Responder, administrativamente, pelo Centro;</w:t>
      </w:r>
    </w:p>
    <w:p w:rsidR="00A218E1" w:rsidRPr="00587A30" w:rsidRDefault="00A218E1" w:rsidP="00A218E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1843" w:hanging="709"/>
        <w:contextualSpacing w:val="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Elaborar o relatório semestral de atividades;</w:t>
      </w:r>
    </w:p>
    <w:p w:rsidR="00A218E1" w:rsidRPr="00587A30" w:rsidRDefault="00A218E1" w:rsidP="00A218E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1843" w:hanging="709"/>
        <w:contextualSpacing w:val="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Encaminhar o relatório semestral às Pró-Reitorias afins;</w:t>
      </w:r>
    </w:p>
    <w:p w:rsidR="00A218E1" w:rsidRPr="00587A30" w:rsidRDefault="00A218E1" w:rsidP="00A218E1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1843" w:hanging="709"/>
        <w:contextualSpacing w:val="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Convocar e presidir o Conselho Superior.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14 O coordenador será eleito pelos líderes dos Grupos de pesquisa, coordenadores de programas e projetos vinculados ao centro.</w:t>
      </w:r>
    </w:p>
    <w:p w:rsidR="00A218E1" w:rsidRPr="00587A30" w:rsidRDefault="00A218E1" w:rsidP="00A218E1">
      <w:pPr>
        <w:pStyle w:val="SemEspaamento"/>
        <w:spacing w:after="120"/>
        <w:ind w:left="1418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§1º</w:t>
      </w:r>
      <w:proofErr w:type="gramStart"/>
      <w:r w:rsidRPr="00587A30">
        <w:rPr>
          <w:rFonts w:ascii="Cambria" w:hAnsi="Cambria" w:cs="Calibri"/>
        </w:rPr>
        <w:t xml:space="preserve">  </w:t>
      </w:r>
      <w:proofErr w:type="gramEnd"/>
      <w:r w:rsidRPr="00587A30">
        <w:rPr>
          <w:rFonts w:ascii="Cambria" w:hAnsi="Cambria" w:cs="Calibri"/>
        </w:rPr>
        <w:t xml:space="preserve">O coordenador deverá ser um servidor efetivo da </w:t>
      </w:r>
      <w:proofErr w:type="spellStart"/>
      <w:r w:rsidRPr="00587A30">
        <w:rPr>
          <w:rFonts w:ascii="Cambria" w:hAnsi="Cambria" w:cs="Calibri"/>
        </w:rPr>
        <w:t>Unemat</w:t>
      </w:r>
      <w:proofErr w:type="spellEnd"/>
      <w:r w:rsidRPr="00587A30">
        <w:rPr>
          <w:rFonts w:ascii="Cambria" w:hAnsi="Cambria" w:cs="Calibri"/>
        </w:rPr>
        <w:t xml:space="preserve"> com titulação mínima de mestre.</w:t>
      </w:r>
    </w:p>
    <w:p w:rsidR="00A218E1" w:rsidRPr="00587A30" w:rsidRDefault="00A218E1" w:rsidP="00A218E1">
      <w:pPr>
        <w:pStyle w:val="SemEspaamento"/>
        <w:spacing w:after="120"/>
        <w:ind w:left="1418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§2º O mandato do coordenador será de 02</w:t>
      </w:r>
      <w:proofErr w:type="gramStart"/>
      <w:r w:rsidRPr="00587A30">
        <w:rPr>
          <w:rFonts w:ascii="Cambria" w:hAnsi="Cambria" w:cs="Calibri"/>
        </w:rPr>
        <w:t xml:space="preserve">( </w:t>
      </w:r>
      <w:proofErr w:type="gramEnd"/>
      <w:r w:rsidRPr="00587A30">
        <w:rPr>
          <w:rFonts w:ascii="Cambria" w:hAnsi="Cambria" w:cs="Calibri"/>
        </w:rPr>
        <w:t>dois) anos, podendo ser reconduzido por mais um mandato.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15</w:t>
      </w:r>
      <w:proofErr w:type="gramStart"/>
      <w:r w:rsidRPr="00587A30">
        <w:rPr>
          <w:rFonts w:ascii="Cambria" w:hAnsi="Cambria" w:cs="Calibri"/>
        </w:rPr>
        <w:t xml:space="preserve">  </w:t>
      </w:r>
      <w:proofErr w:type="gramEnd"/>
      <w:r w:rsidRPr="00587A30">
        <w:rPr>
          <w:rFonts w:ascii="Cambria" w:hAnsi="Cambria" w:cs="Calibri"/>
        </w:rPr>
        <w:t>O Coordenador será destituído do mandato pelo Conselho Superior nos seguintes casos:</w:t>
      </w:r>
    </w:p>
    <w:p w:rsidR="00A218E1" w:rsidRPr="00587A30" w:rsidRDefault="00A218E1" w:rsidP="00A218E1">
      <w:pPr>
        <w:pStyle w:val="SemEspaamento"/>
        <w:numPr>
          <w:ilvl w:val="0"/>
          <w:numId w:val="4"/>
        </w:numPr>
        <w:spacing w:after="120"/>
        <w:ind w:left="1843"/>
        <w:jc w:val="both"/>
        <w:rPr>
          <w:rFonts w:ascii="Cambria" w:hAnsi="Cambria" w:cs="Calibri"/>
        </w:rPr>
      </w:pPr>
      <w:proofErr w:type="gramStart"/>
      <w:r w:rsidRPr="00587A30">
        <w:rPr>
          <w:rFonts w:ascii="Cambria" w:hAnsi="Cambria" w:cs="Calibri"/>
        </w:rPr>
        <w:t>A pedido</w:t>
      </w:r>
      <w:proofErr w:type="gramEnd"/>
      <w:r w:rsidRPr="00587A30">
        <w:rPr>
          <w:rFonts w:ascii="Cambria" w:hAnsi="Cambria" w:cs="Calibri"/>
        </w:rPr>
        <w:t xml:space="preserve"> próprio;</w:t>
      </w:r>
    </w:p>
    <w:p w:rsidR="00A218E1" w:rsidRPr="00587A30" w:rsidRDefault="00A218E1" w:rsidP="00A218E1">
      <w:pPr>
        <w:pStyle w:val="SemEspaamento"/>
        <w:numPr>
          <w:ilvl w:val="0"/>
          <w:numId w:val="4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Licença ou afastamento superior ao período de 01 mandato;</w:t>
      </w:r>
    </w:p>
    <w:p w:rsidR="00A218E1" w:rsidRPr="00587A30" w:rsidRDefault="00A218E1" w:rsidP="00A218E1">
      <w:pPr>
        <w:pStyle w:val="SemEspaamento"/>
        <w:numPr>
          <w:ilvl w:val="0"/>
          <w:numId w:val="4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Desligamento da instituição;</w:t>
      </w:r>
    </w:p>
    <w:p w:rsidR="00A218E1" w:rsidRPr="00587A30" w:rsidRDefault="00A218E1" w:rsidP="00A218E1">
      <w:pPr>
        <w:pStyle w:val="SemEspaamento"/>
        <w:numPr>
          <w:ilvl w:val="0"/>
          <w:numId w:val="4"/>
        </w:numPr>
        <w:spacing w:after="120"/>
        <w:ind w:left="1843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Qualquer conduta ou atividade incompatível com o serviço público, conforme legislação vigente.</w:t>
      </w:r>
    </w:p>
    <w:p w:rsidR="00A218E1" w:rsidRPr="00587A30" w:rsidRDefault="00A218E1" w:rsidP="00A218E1">
      <w:pPr>
        <w:pStyle w:val="SemEspaamento"/>
        <w:spacing w:after="120"/>
        <w:ind w:left="1843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>
        <w:rPr>
          <w:rFonts w:cs="Calibri"/>
        </w:rPr>
        <w:t>Capítulo</w:t>
      </w:r>
      <w:r w:rsidRPr="00587A30">
        <w:rPr>
          <w:rFonts w:cs="Calibri"/>
        </w:rPr>
        <w:t xml:space="preserve"> III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Dos membros</w:t>
      </w:r>
    </w:p>
    <w:p w:rsidR="00A218E1" w:rsidRPr="00587A30" w:rsidRDefault="00A218E1" w:rsidP="00A218E1">
      <w:pPr>
        <w:pStyle w:val="PargrafodaLista"/>
        <w:autoSpaceDE w:val="0"/>
        <w:autoSpaceDN w:val="0"/>
        <w:adjustRightInd w:val="0"/>
        <w:ind w:left="0"/>
        <w:jc w:val="center"/>
        <w:rPr>
          <w:rFonts w:ascii="Cambria" w:hAnsi="Cambria" w:cs="Calibri"/>
        </w:rPr>
      </w:pPr>
    </w:p>
    <w:p w:rsidR="00A218E1" w:rsidRPr="00587A30" w:rsidRDefault="00A218E1" w:rsidP="00A218E1">
      <w:pPr>
        <w:autoSpaceDE w:val="0"/>
        <w:autoSpaceDN w:val="0"/>
        <w:adjustRightInd w:val="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lastRenderedPageBreak/>
        <w:t>Art</w:t>
      </w:r>
      <w:proofErr w:type="spellEnd"/>
      <w:r w:rsidRPr="00587A30">
        <w:rPr>
          <w:rFonts w:ascii="Cambria" w:hAnsi="Cambria" w:cs="Calibri"/>
        </w:rPr>
        <w:t xml:space="preserve"> 16 Para ser Membro do Centro, o pesquisador deverá integrar-se a um Grupo de Pesquisa, Programa e/ou Projeto (pesquisa, ensino e Extensão) vinculado ao Centro.</w:t>
      </w:r>
    </w:p>
    <w:p w:rsidR="00A218E1" w:rsidRPr="00587A30" w:rsidRDefault="00A218E1" w:rsidP="00A218E1">
      <w:pPr>
        <w:autoSpaceDE w:val="0"/>
        <w:autoSpaceDN w:val="0"/>
        <w:adjustRightInd w:val="0"/>
        <w:ind w:firstLine="2268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proofErr w:type="gramStart"/>
      <w:r w:rsidRPr="00587A30">
        <w:rPr>
          <w:rFonts w:ascii="Cambria" w:hAnsi="Cambria" w:cs="Calibri"/>
        </w:rPr>
        <w:t xml:space="preserve">  </w:t>
      </w:r>
      <w:proofErr w:type="gramEnd"/>
      <w:r w:rsidRPr="00587A30">
        <w:rPr>
          <w:rFonts w:ascii="Cambria" w:hAnsi="Cambria" w:cs="Calibri"/>
        </w:rPr>
        <w:t>17 Compete aos Membros:</w:t>
      </w:r>
    </w:p>
    <w:p w:rsidR="00A218E1" w:rsidRDefault="00A218E1" w:rsidP="00A218E1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ind w:left="1843" w:hanging="566"/>
        <w:contextualSpacing w:val="0"/>
        <w:jc w:val="both"/>
        <w:rPr>
          <w:rFonts w:ascii="Cambria" w:hAnsi="Cambria" w:cs="Calibri"/>
        </w:rPr>
      </w:pPr>
      <w:r w:rsidRPr="00D4319E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ab/>
      </w:r>
      <w:r w:rsidRPr="00D4319E">
        <w:rPr>
          <w:rFonts w:ascii="Cambria" w:hAnsi="Cambria" w:cs="Calibri"/>
        </w:rPr>
        <w:t>Atender ao plano de trabalho;</w:t>
      </w:r>
    </w:p>
    <w:p w:rsidR="00A218E1" w:rsidRPr="00D4319E" w:rsidRDefault="00A218E1" w:rsidP="00A218E1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ind w:left="1843" w:hanging="566"/>
        <w:contextualSpacing w:val="0"/>
        <w:jc w:val="both"/>
        <w:rPr>
          <w:rFonts w:ascii="Cambria" w:hAnsi="Cambria" w:cs="Calibri"/>
        </w:rPr>
      </w:pPr>
      <w:r w:rsidRPr="00D4319E">
        <w:rPr>
          <w:rFonts w:ascii="Cambria" w:hAnsi="Cambria" w:cs="Calibri"/>
        </w:rPr>
        <w:t>Participar das reuniões do Centro;</w:t>
      </w:r>
    </w:p>
    <w:p w:rsidR="00A218E1" w:rsidRPr="00587A30" w:rsidRDefault="00A218E1" w:rsidP="00A218E1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ind w:left="1843" w:hanging="566"/>
        <w:contextualSpacing w:val="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Acatar as deliberações do Conselho Superior;</w:t>
      </w:r>
    </w:p>
    <w:p w:rsidR="00A218E1" w:rsidRPr="00587A30" w:rsidRDefault="00A218E1" w:rsidP="00A218E1">
      <w:pPr>
        <w:pStyle w:val="PargrafodaLista"/>
        <w:numPr>
          <w:ilvl w:val="0"/>
          <w:numId w:val="8"/>
        </w:numPr>
        <w:suppressAutoHyphens/>
        <w:autoSpaceDE w:val="0"/>
        <w:autoSpaceDN w:val="0"/>
        <w:adjustRightInd w:val="0"/>
        <w:ind w:left="1843" w:hanging="566"/>
        <w:contextualSpacing w:val="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Fornecer informações para compor o Relatório Semestral de atividades.</w:t>
      </w:r>
    </w:p>
    <w:p w:rsidR="00A218E1" w:rsidRPr="00587A30" w:rsidRDefault="00A218E1" w:rsidP="00A218E1">
      <w:pPr>
        <w:autoSpaceDE w:val="0"/>
        <w:autoSpaceDN w:val="0"/>
        <w:adjustRightInd w:val="0"/>
        <w:ind w:left="2269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autoSpaceDE w:val="0"/>
        <w:autoSpaceDN w:val="0"/>
        <w:adjustRightInd w:val="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  <w:bCs/>
        </w:rPr>
        <w:t>Art</w:t>
      </w:r>
      <w:proofErr w:type="spellEnd"/>
      <w:r w:rsidRPr="00587A30">
        <w:rPr>
          <w:rFonts w:ascii="Cambria" w:hAnsi="Cambria" w:cs="Calibri"/>
          <w:bCs/>
        </w:rPr>
        <w:t xml:space="preserve"> 18</w:t>
      </w:r>
      <w:r w:rsidRPr="00587A30">
        <w:rPr>
          <w:rFonts w:ascii="Cambria" w:hAnsi="Cambria" w:cs="Calibri"/>
          <w:b/>
          <w:bCs/>
        </w:rPr>
        <w:t xml:space="preserve"> </w:t>
      </w:r>
      <w:r w:rsidRPr="00587A30">
        <w:rPr>
          <w:rFonts w:ascii="Cambria" w:hAnsi="Cambria" w:cs="Calibri"/>
        </w:rPr>
        <w:t>Os Centros poderão receber pesquisadores de outras IES e de Institutos afins, por decisão do Conselho Superior, respeitadas as normas da UNEMAT.</w:t>
      </w:r>
    </w:p>
    <w:p w:rsidR="00A218E1" w:rsidRPr="00587A30" w:rsidRDefault="00A218E1" w:rsidP="00A218E1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:rsidR="00A218E1" w:rsidRPr="00587A30" w:rsidRDefault="00A218E1" w:rsidP="00A218E1">
      <w:pPr>
        <w:spacing w:after="120"/>
        <w:rPr>
          <w:rFonts w:ascii="Cambria" w:hAnsi="Cambria" w:cs="Calibri"/>
        </w:rPr>
      </w:pP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Título III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Das ações de vinculadas ao Centro</w:t>
      </w:r>
    </w:p>
    <w:p w:rsidR="00A218E1" w:rsidRPr="00587A30" w:rsidRDefault="00A218E1" w:rsidP="00A218E1">
      <w:pPr>
        <w:spacing w:after="120"/>
        <w:rPr>
          <w:rFonts w:ascii="Cambria" w:hAnsi="Cambria" w:cs="Calibri"/>
        </w:rPr>
      </w:pP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19 As ações de extensão vinculadas ao CEPEC/SINOP seguirão as classificações temáticas da Resolução 81/2008-CONEPE e demais alterações:</w:t>
      </w:r>
    </w:p>
    <w:p w:rsidR="00A218E1" w:rsidRPr="00587A30" w:rsidRDefault="00A218E1" w:rsidP="00A218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985"/>
        <w:rPr>
          <w:rFonts w:ascii="Cambria" w:hAnsi="Cambria" w:cs="Calibri"/>
        </w:rPr>
      </w:pPr>
      <w:r w:rsidRPr="00587A30">
        <w:rPr>
          <w:rFonts w:ascii="Cambria" w:hAnsi="Cambria" w:cs="Calibri"/>
        </w:rPr>
        <w:t>Comunicação;</w:t>
      </w:r>
    </w:p>
    <w:p w:rsidR="00A218E1" w:rsidRPr="00587A30" w:rsidRDefault="00A218E1" w:rsidP="00A218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985"/>
        <w:rPr>
          <w:rFonts w:ascii="Cambria" w:hAnsi="Cambria" w:cs="Calibri"/>
        </w:rPr>
      </w:pPr>
      <w:r w:rsidRPr="00587A30">
        <w:rPr>
          <w:rFonts w:ascii="Cambria" w:hAnsi="Cambria" w:cs="Calibri"/>
        </w:rPr>
        <w:t>Cultura;</w:t>
      </w:r>
    </w:p>
    <w:p w:rsidR="00A218E1" w:rsidRPr="00587A30" w:rsidRDefault="00A218E1" w:rsidP="00A218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985"/>
        <w:rPr>
          <w:rFonts w:ascii="Cambria" w:hAnsi="Cambria" w:cs="Calibri"/>
        </w:rPr>
      </w:pPr>
      <w:r w:rsidRPr="00587A30">
        <w:rPr>
          <w:rFonts w:ascii="Cambria" w:hAnsi="Cambria" w:cs="Calibri"/>
        </w:rPr>
        <w:t>Direitos Humanos e Justiça;</w:t>
      </w:r>
    </w:p>
    <w:p w:rsidR="00A218E1" w:rsidRPr="00587A30" w:rsidRDefault="00A218E1" w:rsidP="00A218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985"/>
        <w:rPr>
          <w:rFonts w:ascii="Cambria" w:hAnsi="Cambria" w:cs="Calibri"/>
        </w:rPr>
      </w:pPr>
      <w:r w:rsidRPr="00587A30">
        <w:rPr>
          <w:rFonts w:ascii="Cambria" w:hAnsi="Cambria" w:cs="Calibri"/>
        </w:rPr>
        <w:t>Educação;</w:t>
      </w:r>
    </w:p>
    <w:p w:rsidR="00A218E1" w:rsidRPr="00587A30" w:rsidRDefault="00A218E1" w:rsidP="00A218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985"/>
        <w:rPr>
          <w:rFonts w:ascii="Cambria" w:hAnsi="Cambria" w:cs="Calibri"/>
        </w:rPr>
      </w:pPr>
      <w:r w:rsidRPr="00587A30">
        <w:rPr>
          <w:rFonts w:ascii="Cambria" w:hAnsi="Cambria" w:cs="Calibri"/>
        </w:rPr>
        <w:t>Meio Ambiente;</w:t>
      </w:r>
    </w:p>
    <w:p w:rsidR="00A218E1" w:rsidRPr="00587A30" w:rsidRDefault="00A218E1" w:rsidP="00A218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985"/>
        <w:rPr>
          <w:rFonts w:ascii="Cambria" w:hAnsi="Cambria" w:cs="Calibri"/>
        </w:rPr>
      </w:pPr>
      <w:r w:rsidRPr="00587A30">
        <w:rPr>
          <w:rFonts w:ascii="Cambria" w:hAnsi="Cambria" w:cs="Calibri"/>
        </w:rPr>
        <w:t>Saúde;</w:t>
      </w:r>
    </w:p>
    <w:p w:rsidR="00A218E1" w:rsidRPr="00587A30" w:rsidRDefault="00A218E1" w:rsidP="00A218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985"/>
        <w:rPr>
          <w:rFonts w:ascii="Cambria" w:hAnsi="Cambria" w:cs="Calibri"/>
        </w:rPr>
      </w:pPr>
      <w:r w:rsidRPr="00587A30">
        <w:rPr>
          <w:rFonts w:ascii="Cambria" w:hAnsi="Cambria" w:cs="Calibri"/>
        </w:rPr>
        <w:t>Tecnologia e Produção;</w:t>
      </w:r>
    </w:p>
    <w:p w:rsidR="00A218E1" w:rsidRPr="00587A30" w:rsidRDefault="00A218E1" w:rsidP="00A218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ind w:left="1985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Trabalho.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20 Podem constituem ações vinculadas ao CEPEC/SINOP todos os Programas, Projeto, Eventos, Cursos, Prestações de Serviço, publicações e Núcleos de extensão, ensino e Pesquisa que forem aprovados pelo</w:t>
      </w:r>
      <w:proofErr w:type="gramStart"/>
      <w:r w:rsidRPr="00587A30">
        <w:rPr>
          <w:rFonts w:ascii="Cambria" w:hAnsi="Cambria" w:cs="Calibri"/>
        </w:rPr>
        <w:t xml:space="preserve">  </w:t>
      </w:r>
      <w:proofErr w:type="gramEnd"/>
      <w:r w:rsidRPr="00587A30">
        <w:rPr>
          <w:rFonts w:ascii="Cambria" w:hAnsi="Cambria" w:cs="Calibri"/>
        </w:rPr>
        <w:t>Conselho Superior.</w:t>
      </w:r>
    </w:p>
    <w:p w:rsidR="00A218E1" w:rsidRPr="00587A30" w:rsidRDefault="00A218E1" w:rsidP="00A218E1">
      <w:pPr>
        <w:pStyle w:val="SemEspaamento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§1º As propostas de inclusão de projetos, eventos e cursos deverão ser avaliadas em reunião do Conselho Superior, acompanhadas de apresentação completa da proposta, inclusive apresentado os vínculos com programas ou núcleos de extensão.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16 O Conselho Superior emitirá parecer sobre as adesões solicitadas ao CEPEC/SINOP, tratando sobre a viabilidade</w:t>
      </w:r>
      <w:proofErr w:type="gramStart"/>
      <w:r w:rsidRPr="00587A30">
        <w:rPr>
          <w:rFonts w:ascii="Cambria" w:hAnsi="Cambria" w:cs="Calibri"/>
        </w:rPr>
        <w:t xml:space="preserve">  </w:t>
      </w:r>
      <w:proofErr w:type="gramEnd"/>
      <w:r w:rsidRPr="00587A30">
        <w:rPr>
          <w:rFonts w:ascii="Cambria" w:hAnsi="Cambria" w:cs="Calibri"/>
        </w:rPr>
        <w:t>e relevância da proposição.</w:t>
      </w:r>
    </w:p>
    <w:p w:rsidR="00A218E1" w:rsidRPr="00587A30" w:rsidRDefault="00A218E1" w:rsidP="00A218E1">
      <w:pPr>
        <w:pStyle w:val="SemEspaamento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17 Após a aprovação da adesão ao CEPEC/SINOP, o coordenador do Centro encaminhará para as instâncias competentes a documentação para oficializar</w:t>
      </w:r>
      <w:proofErr w:type="gramStart"/>
      <w:r w:rsidRPr="00587A30">
        <w:rPr>
          <w:rFonts w:ascii="Cambria" w:hAnsi="Cambria" w:cs="Calibri"/>
        </w:rPr>
        <w:t xml:space="preserve">  </w:t>
      </w:r>
      <w:proofErr w:type="gramEnd"/>
      <w:r w:rsidRPr="00587A30">
        <w:rPr>
          <w:rFonts w:ascii="Cambria" w:hAnsi="Cambria" w:cs="Calibri"/>
        </w:rPr>
        <w:t>inclusão.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1418" w:hanging="709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Título IV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Das formas de financiamento e patrimônio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lastRenderedPageBreak/>
        <w:t>Art</w:t>
      </w:r>
      <w:proofErr w:type="spellEnd"/>
      <w:r w:rsidRPr="00587A30">
        <w:rPr>
          <w:rFonts w:ascii="Cambria" w:hAnsi="Cambria" w:cs="Calibri"/>
        </w:rPr>
        <w:t xml:space="preserve"> 18 O financiamento do CEPEC/SINOP será composto por recursos da </w:t>
      </w:r>
      <w:proofErr w:type="spellStart"/>
      <w:r w:rsidRPr="00587A30">
        <w:rPr>
          <w:rFonts w:ascii="Cambria" w:hAnsi="Cambria" w:cs="Calibri"/>
        </w:rPr>
        <w:t>Unemat</w:t>
      </w:r>
      <w:proofErr w:type="spellEnd"/>
      <w:r w:rsidRPr="00587A30">
        <w:rPr>
          <w:rFonts w:ascii="Cambria" w:hAnsi="Cambria" w:cs="Calibri"/>
        </w:rPr>
        <w:t>, de convênios com instituições públicas e empresas privadas, inclusive mediante doações, seguindo a legislação pertinente.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1418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 xml:space="preserve">Parágrafo único. O orçamento, prestação de contas e a execução de cada projeto/programa </w:t>
      </w:r>
      <w:proofErr w:type="gramStart"/>
      <w:r w:rsidRPr="00587A30">
        <w:rPr>
          <w:rFonts w:ascii="Cambria" w:hAnsi="Cambria" w:cs="Calibri"/>
        </w:rPr>
        <w:t>é</w:t>
      </w:r>
      <w:proofErr w:type="gramEnd"/>
      <w:r w:rsidRPr="00587A30">
        <w:rPr>
          <w:rFonts w:ascii="Cambria" w:hAnsi="Cambria" w:cs="Calibri"/>
        </w:rPr>
        <w:t xml:space="preserve"> de responsabilidade de seus respectivos professores coordenadores.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19 O patrimônio é de responsabilidade do coordenador do CEPEC/SINOP e do Campus de </w:t>
      </w:r>
      <w:proofErr w:type="spellStart"/>
      <w:r w:rsidRPr="00587A30">
        <w:rPr>
          <w:rFonts w:ascii="Cambria" w:hAnsi="Cambria" w:cs="Calibri"/>
        </w:rPr>
        <w:t>Sinop</w:t>
      </w:r>
      <w:proofErr w:type="spellEnd"/>
      <w:r w:rsidRPr="00587A30">
        <w:rPr>
          <w:rFonts w:ascii="Cambria" w:hAnsi="Cambria" w:cs="Calibri"/>
        </w:rPr>
        <w:t>.</w:t>
      </w:r>
    </w:p>
    <w:p w:rsidR="00A218E1" w:rsidRPr="00587A30" w:rsidRDefault="00A218E1" w:rsidP="00A218E1">
      <w:pPr>
        <w:autoSpaceDE w:val="0"/>
        <w:autoSpaceDN w:val="0"/>
        <w:adjustRightInd w:val="0"/>
        <w:ind w:left="1418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§1º Aos Campi Universitários compete abrigar os Centros, garantindo a manutenção das instalações, do material permanente e equipamentos, bem como a conservação da estrutura física.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§2º Os materiais permanentes e instalações dos Centros, adquiridas pelos projetos e/ou programas, por meio de recursos de órgãos de fomento, doações ou convênios, constituem patrimônio da Universidade vinculado ao Campus de origem.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§ 3º O patrimônio de ações de extensão que forem adquiridos com recursos de terceiros, salvo convenção prevista no termo de doação/convênio, serão de responsabilidade do professor coordenador até o momento da transferência para o Campus.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 xml:space="preserve">§4º Os recursos financeiros necessários para manutenção dos Centros é de responsabilidade da </w:t>
      </w:r>
      <w:r w:rsidRPr="00587A30">
        <w:rPr>
          <w:rFonts w:ascii="Cambria" w:hAnsi="Cambria" w:cs="Calibri"/>
          <w:bCs/>
        </w:rPr>
        <w:t>Diretoria Regionalizada, Político, Pedagógica e Financeira do Campus (DPPF).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20 Os convênios e aquisições com recursos públicos serão firmados seguindo a legislação pertinente.</w:t>
      </w:r>
    </w:p>
    <w:p w:rsidR="00A218E1" w:rsidRPr="00587A30" w:rsidRDefault="00A218E1" w:rsidP="00A218E1">
      <w:pPr>
        <w:spacing w:after="120"/>
        <w:rPr>
          <w:rFonts w:ascii="Cambria" w:hAnsi="Cambria" w:cs="Calibri"/>
        </w:rPr>
      </w:pPr>
    </w:p>
    <w:p w:rsidR="00A218E1" w:rsidRPr="00587A30" w:rsidRDefault="00A218E1" w:rsidP="00A218E1">
      <w:pPr>
        <w:pStyle w:val="Ttulo1"/>
        <w:jc w:val="center"/>
        <w:rPr>
          <w:rFonts w:cs="Calibri"/>
        </w:rPr>
      </w:pPr>
      <w:r w:rsidRPr="00587A30">
        <w:rPr>
          <w:rFonts w:cs="Calibri"/>
        </w:rPr>
        <w:t>Título V</w:t>
      </w: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Da prestação de contas e avaliação das ações executadas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 w:cs="Calibri"/>
        </w:rPr>
      </w:pP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 xml:space="preserve">Art. 21 O CEPEC/SINOP manterá registro atualizado das atividades realizadas, publicando anualmente em página web deste e da </w:t>
      </w:r>
      <w:proofErr w:type="spellStart"/>
      <w:r w:rsidRPr="00587A30">
        <w:rPr>
          <w:rFonts w:ascii="Cambria" w:hAnsi="Cambria" w:cs="Calibri"/>
        </w:rPr>
        <w:t>Unemat</w:t>
      </w:r>
      <w:proofErr w:type="spellEnd"/>
      <w:r w:rsidRPr="00587A30">
        <w:rPr>
          <w:rFonts w:ascii="Cambria" w:hAnsi="Cambria" w:cs="Calibri"/>
        </w:rPr>
        <w:t xml:space="preserve"> um relatório no qual constem informações sobre:</w:t>
      </w:r>
    </w:p>
    <w:p w:rsidR="00A218E1" w:rsidRPr="00587A30" w:rsidRDefault="00A218E1" w:rsidP="00A218E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/>
        <w:ind w:left="1985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Número de ações realizadas, por área temática, constando público atendido;</w:t>
      </w:r>
    </w:p>
    <w:p w:rsidR="00A218E1" w:rsidRPr="00587A30" w:rsidRDefault="00A218E1" w:rsidP="00A218E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/>
        <w:ind w:left="1985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Bens adquiridos, informando a origem dos recursos;</w:t>
      </w:r>
    </w:p>
    <w:p w:rsidR="00A218E1" w:rsidRPr="00587A30" w:rsidRDefault="00A218E1" w:rsidP="00A218E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/>
        <w:ind w:left="1985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Relatório financeiro com valores movimentados pelo CEPEC/SINOP;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 xml:space="preserve">Parágrafo único. </w:t>
      </w:r>
      <w:r>
        <w:rPr>
          <w:rFonts w:ascii="Cambria" w:hAnsi="Cambria" w:cs="Calibri"/>
        </w:rPr>
        <w:t>T</w:t>
      </w:r>
      <w:r w:rsidRPr="00587A30">
        <w:rPr>
          <w:rFonts w:ascii="Cambria" w:hAnsi="Cambria" w:cs="Calibri"/>
        </w:rPr>
        <w:t>ambém será enviado</w:t>
      </w:r>
      <w:r>
        <w:rPr>
          <w:rFonts w:ascii="Cambria" w:hAnsi="Cambria" w:cs="Calibri"/>
        </w:rPr>
        <w:t xml:space="preserve"> um relatório semestral parcial</w:t>
      </w:r>
      <w:r w:rsidRPr="00587A30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para as Pró-Reitorias relacionadas.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22. A avaliação </w:t>
      </w:r>
      <w:r>
        <w:rPr>
          <w:rFonts w:ascii="Cambria" w:hAnsi="Cambria" w:cs="Calibri"/>
        </w:rPr>
        <w:t xml:space="preserve">das atividades </w:t>
      </w:r>
      <w:r w:rsidRPr="00587A30">
        <w:rPr>
          <w:rFonts w:ascii="Cambria" w:hAnsi="Cambria" w:cs="Calibri"/>
        </w:rPr>
        <w:t>do CEPEC/SINOP contemplará os seguintes aspectos:</w:t>
      </w:r>
    </w:p>
    <w:p w:rsidR="00A218E1" w:rsidRPr="00587A30" w:rsidRDefault="00A218E1" w:rsidP="00A218E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>Análise da relevância social, cultural e científica das atividades de extensão desenvolvidas nos centro;</w:t>
      </w:r>
    </w:p>
    <w:p w:rsidR="00A218E1" w:rsidRPr="00587A30" w:rsidRDefault="00A218E1" w:rsidP="00A218E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t xml:space="preserve">Apresentação, desenvolvimentos e divulgação das atividades </w:t>
      </w:r>
      <w:proofErr w:type="spellStart"/>
      <w:r w:rsidRPr="00587A30">
        <w:rPr>
          <w:rFonts w:ascii="Cambria" w:hAnsi="Cambria" w:cs="Calibri"/>
        </w:rPr>
        <w:t>extensionistas</w:t>
      </w:r>
      <w:proofErr w:type="spellEnd"/>
      <w:r w:rsidRPr="00587A30">
        <w:rPr>
          <w:rFonts w:ascii="Cambria" w:hAnsi="Cambria" w:cs="Calibri"/>
        </w:rPr>
        <w:t>;</w:t>
      </w:r>
    </w:p>
    <w:p w:rsidR="00A218E1" w:rsidRPr="00587A30" w:rsidRDefault="00A218E1" w:rsidP="00A218E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  <w:b/>
          <w:bCs/>
        </w:rPr>
        <w:t xml:space="preserve"> </w:t>
      </w:r>
      <w:r w:rsidRPr="00587A30">
        <w:rPr>
          <w:rFonts w:ascii="Cambria" w:hAnsi="Cambria" w:cs="Calibri"/>
        </w:rPr>
        <w:t>Condições materiais, orçamento financeiro e cronograma.</w:t>
      </w:r>
    </w:p>
    <w:p w:rsidR="00A218E1" w:rsidRPr="00587A30" w:rsidRDefault="00A218E1" w:rsidP="00A218E1">
      <w:pPr>
        <w:autoSpaceDE w:val="0"/>
        <w:autoSpaceDN w:val="0"/>
        <w:adjustRightInd w:val="0"/>
        <w:spacing w:after="120"/>
        <w:ind w:left="1417" w:hanging="709"/>
        <w:jc w:val="both"/>
        <w:rPr>
          <w:rFonts w:ascii="Cambria" w:hAnsi="Cambria" w:cs="Calibri"/>
        </w:rPr>
      </w:pPr>
      <w:r w:rsidRPr="00587A30">
        <w:rPr>
          <w:rFonts w:ascii="Cambria" w:hAnsi="Cambria" w:cs="Calibri"/>
        </w:rPr>
        <w:lastRenderedPageBreak/>
        <w:t xml:space="preserve">Parágrafo único. Os resultados da avaliação das atividades do CEPEC/SINOP farão parte do relatório Anual mencionado no </w:t>
      </w: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21.</w:t>
      </w:r>
    </w:p>
    <w:p w:rsidR="00A218E1" w:rsidRPr="00587A30" w:rsidRDefault="00A218E1" w:rsidP="00A218E1">
      <w:pPr>
        <w:spacing w:after="120"/>
        <w:rPr>
          <w:rFonts w:ascii="Cambria" w:hAnsi="Cambria" w:cs="Calibri"/>
        </w:rPr>
      </w:pPr>
    </w:p>
    <w:p w:rsidR="00A218E1" w:rsidRPr="00587A30" w:rsidRDefault="00A218E1" w:rsidP="00A218E1">
      <w:pPr>
        <w:pStyle w:val="Ttulo1"/>
        <w:spacing w:after="120"/>
        <w:jc w:val="center"/>
        <w:rPr>
          <w:rFonts w:cs="Calibri"/>
        </w:rPr>
      </w:pPr>
      <w:r w:rsidRPr="00587A30">
        <w:rPr>
          <w:rFonts w:cs="Calibri"/>
        </w:rPr>
        <w:t>Disposições gerais e transitórias.</w:t>
      </w:r>
    </w:p>
    <w:p w:rsidR="00A218E1" w:rsidRPr="00587A30" w:rsidRDefault="00A218E1" w:rsidP="00A218E1">
      <w:pPr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23 Os casos omissos serão apresentados ao Conselho Superior para avaliação e julgamento.</w:t>
      </w:r>
    </w:p>
    <w:p w:rsidR="00A218E1" w:rsidRPr="00587A30" w:rsidRDefault="00A218E1" w:rsidP="00A218E1">
      <w:pPr>
        <w:spacing w:after="120"/>
        <w:ind w:left="709" w:hanging="709"/>
        <w:jc w:val="both"/>
        <w:rPr>
          <w:rFonts w:ascii="Cambria" w:hAnsi="Cambria" w:cs="Calibri"/>
        </w:rPr>
      </w:pPr>
      <w:proofErr w:type="spellStart"/>
      <w:r w:rsidRPr="00587A30">
        <w:rPr>
          <w:rFonts w:ascii="Cambria" w:hAnsi="Cambria" w:cs="Calibri"/>
        </w:rPr>
        <w:t>Art</w:t>
      </w:r>
      <w:proofErr w:type="spellEnd"/>
      <w:r w:rsidRPr="00587A30">
        <w:rPr>
          <w:rFonts w:ascii="Cambria" w:hAnsi="Cambria" w:cs="Calibri"/>
        </w:rPr>
        <w:t xml:space="preserve"> 24 Este regimento pode ser revisto no todo ou em parte, a qualquer tempo, pelo Conselho Superior, em reunião com a presença da totalidade de membros e através de maioria absoluta dos votos.</w:t>
      </w:r>
    </w:p>
    <w:p w:rsidR="0030765E" w:rsidRDefault="00A218E1"/>
    <w:sectPr w:rsidR="0030765E" w:rsidSect="00FB7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796"/>
    <w:multiLevelType w:val="hybridMultilevel"/>
    <w:tmpl w:val="9B6894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F8F"/>
    <w:multiLevelType w:val="hybridMultilevel"/>
    <w:tmpl w:val="B062350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F5EDD"/>
    <w:multiLevelType w:val="hybridMultilevel"/>
    <w:tmpl w:val="0AB87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45D0"/>
    <w:multiLevelType w:val="hybridMultilevel"/>
    <w:tmpl w:val="C860984E"/>
    <w:lvl w:ilvl="0" w:tplc="81DEB3D6">
      <w:start w:val="1"/>
      <w:numFmt w:val="upperRoman"/>
      <w:lvlText w:val="%1."/>
      <w:lvlJc w:val="left"/>
      <w:pPr>
        <w:ind w:left="2989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CE3378E"/>
    <w:multiLevelType w:val="hybridMultilevel"/>
    <w:tmpl w:val="E2706D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7F85"/>
    <w:multiLevelType w:val="hybridMultilevel"/>
    <w:tmpl w:val="DF0EA6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077BA"/>
    <w:multiLevelType w:val="hybridMultilevel"/>
    <w:tmpl w:val="FC40BF2E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F1665CF"/>
    <w:multiLevelType w:val="hybridMultilevel"/>
    <w:tmpl w:val="0AB87B4E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8C32EC5"/>
    <w:multiLevelType w:val="hybridMultilevel"/>
    <w:tmpl w:val="EDF8ED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C3979"/>
    <w:multiLevelType w:val="hybridMultilevel"/>
    <w:tmpl w:val="63122450"/>
    <w:lvl w:ilvl="0" w:tplc="57003196">
      <w:start w:val="1"/>
      <w:numFmt w:val="upperRoman"/>
      <w:lvlText w:val="%1."/>
      <w:lvlJc w:val="left"/>
      <w:pPr>
        <w:ind w:left="2989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218E1"/>
    <w:rsid w:val="0029184A"/>
    <w:rsid w:val="00723993"/>
    <w:rsid w:val="008B4793"/>
    <w:rsid w:val="00A218E1"/>
    <w:rsid w:val="00B0080F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E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18E1"/>
    <w:pPr>
      <w:keepNext/>
      <w:keepLines/>
      <w:outlineLvl w:val="0"/>
    </w:pPr>
    <w:rPr>
      <w:rFonts w:ascii="Cambria" w:eastAsia="MS Gothic" w:hAnsi="Cambria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18E1"/>
    <w:rPr>
      <w:rFonts w:ascii="Cambria" w:eastAsia="MS Gothic" w:hAnsi="Cambria" w:cs="Times New Roman"/>
      <w:b/>
      <w:bCs/>
      <w:sz w:val="28"/>
      <w:szCs w:val="28"/>
      <w:lang w:eastAsia="ja-JP"/>
    </w:rPr>
  </w:style>
  <w:style w:type="paragraph" w:styleId="PargrafodaLista">
    <w:name w:val="List Paragraph"/>
    <w:basedOn w:val="Normal"/>
    <w:uiPriority w:val="34"/>
    <w:qFormat/>
    <w:rsid w:val="00A218E1"/>
    <w:pPr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SemEspaamento">
    <w:name w:val="No Spacing"/>
    <w:uiPriority w:val="1"/>
    <w:qFormat/>
    <w:rsid w:val="00A218E1"/>
    <w:pPr>
      <w:spacing w:after="0" w:line="240" w:lineRule="auto"/>
      <w:jc w:val="left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1589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1</cp:revision>
  <dcterms:created xsi:type="dcterms:W3CDTF">2018-07-09T19:58:00Z</dcterms:created>
  <dcterms:modified xsi:type="dcterms:W3CDTF">2018-07-09T19:58:00Z</dcterms:modified>
</cp:coreProperties>
</file>